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ind w:right="0"/>
        <w:jc w:val="center"/>
        <w:keepLines w:val="0"/>
        <w:keepNext w:val="0"/>
        <w:pageBreakBefore/>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mc:AlternateContent>
          <mc:Choice Requires="wpg">
            <w:drawing>
              <wp:inline xmlns:wp="http://schemas.openxmlformats.org/drawingml/2006/wordprocessingDrawing" distT="0" distB="0" distL="0" distR="0">
                <wp:extent cx="6188240" cy="875112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8240" cy="8751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7.3pt;height:689.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bCs/>
          <w:sz w:val="36"/>
          <w:szCs w:val="36"/>
          <w:highlight w:val="none"/>
          <w:lang w:val="en-US" w:eastAsia="zh-CN"/>
        </w:rPr>
        <w:t xml:space="preserve">目  录</w:t>
      </w:r>
      <w:r>
        <w:rPr>
          <w:rFonts w:hint="eastAsia" w:ascii="宋体" w:hAnsi="宋体" w:eastAsia="宋体" w:cs="宋体"/>
          <w:b/>
          <w:bCs/>
          <w:sz w:val="36"/>
          <w:szCs w:val="36"/>
          <w:highlight w:val="none"/>
          <w:lang w:val="en-US" w:eastAsia="zh-CN"/>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63"/>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rPr>
          <w:rFonts w:hint="eastAsia" w:ascii="宋体" w:hAnsi="宋体" w:eastAsia="宋体" w:cs="宋体"/>
          <w:b/>
          <w:sz w:val="44"/>
          <w:szCs w:val="44"/>
          <w:highlight w:val="none"/>
        </w:rPr>
      </w:r>
      <w:r/>
    </w:p>
    <w:p>
      <w:pPr>
        <w:pStyle w:val="663"/>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pStyle w:val="663"/>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Pr>
          <w:rFonts w:hint="eastAsia" w:ascii="宋体" w:hAnsi="宋体" w:eastAsia="宋体" w:cs="宋体"/>
          <w:b/>
          <w:bCs/>
          <w:sz w:val="32"/>
          <w:szCs w:val="32"/>
          <w:highlight w:val="none"/>
        </w:rPr>
      </w:r>
      <w:r/>
    </w:p>
    <w:tbl>
      <w:tblPr>
        <w:tblStyle w:val="694"/>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725"/>
      </w:tblGrid>
      <w:tr>
        <w:trPr/>
        <w:tc>
          <w:tcPr>
            <w:tcW w:w="9725" w:type="dxa"/>
            <w:vAlign w:val="top"/>
            <w:textDirection w:val="lrTb"/>
            <w:noWrap w:val="false"/>
          </w:tcPr>
          <w:p>
            <w:pPr>
              <w:pStyle w:val="663"/>
              <w:ind w:right="0"/>
              <w:jc w:val="left"/>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663"/>
              <w:ind w:right="0" w:firstLine="480"/>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u w:val="single"/>
                <w:lang w:eastAsia="zh-CN"/>
              </w:rPr>
              <w:t xml:space="preserve">开发区专职消防队消防设备、器材采购项目JSZC-320831-SWGS-G2026-0002</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2026-2-5 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rPr>
                <w:rFonts w:hint="eastAsia" w:ascii="宋体" w:hAnsi="宋体" w:eastAsia="宋体" w:cs="宋体"/>
                <w:b/>
                <w:bCs/>
                <w:sz w:val="24"/>
                <w:szCs w:val="24"/>
              </w:rPr>
            </w:r>
            <w:r/>
          </w:p>
        </w:tc>
      </w:tr>
    </w:tbl>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：JSZC-320831-SWGS-G2026-0002</w:t>
      </w:r>
      <w:r>
        <w:rPr>
          <w:rFonts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开发</w:t>
      </w:r>
      <w:r>
        <w:rPr>
          <w:rFonts w:hint="eastAsia" w:ascii="宋体" w:hAnsi="宋体" w:eastAsia="宋体" w:cs="宋体"/>
          <w:spacing w:val="-6"/>
          <w:sz w:val="24"/>
          <w:szCs w:val="24"/>
          <w:highlight w:val="none"/>
          <w:lang w:val="en-US" w:eastAsia="zh-CN"/>
        </w:rPr>
        <w:t xml:space="preserve">区专职消防队消防设备、器材采购项目</w:t>
      </w:r>
      <w:r>
        <w:rPr>
          <w:rFonts w:hint="eastAsia" w:ascii="宋体" w:hAnsi="宋体" w:eastAsia="宋体" w:cs="宋体"/>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：195万元（采购包1:98</w:t>
      </w:r>
      <w:r>
        <w:rPr>
          <w:rFonts w:hint="eastAsia" w:ascii="宋体" w:hAnsi="宋体" w:eastAsia="宋体" w:cs="宋体"/>
          <w:sz w:val="24"/>
          <w:szCs w:val="24"/>
          <w:highlight w:val="none"/>
          <w:lang w:val="en-US" w:eastAsia="zh-CN"/>
        </w:rPr>
        <w:t xml:space="preserve">万元；采购包2:97万元）</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eastAsia="宋体" w:cs="宋体"/>
          <w:sz w:val="24"/>
          <w:szCs w:val="24"/>
          <w:highlight w:val="none"/>
          <w:lang w:val="en-US" w:eastAsia="zh-CN"/>
        </w:rPr>
        <w:t xml:space="preserve">195万元（采购包1:98万元；采购包2:97万元）。报价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rPr>
          <w:rFonts w:hint="eastAsia"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w:t>
      </w:r>
      <w:r>
        <w:rPr>
          <w:rFonts w:hint="eastAsia" w:ascii="宋体" w:hAnsi="宋体" w:eastAsia="宋体" w:cs="宋体"/>
          <w:sz w:val="24"/>
          <w:szCs w:val="24"/>
          <w:highlight w:val="none"/>
          <w:lang w:val="en-US" w:eastAsia="zh-CN"/>
        </w:rPr>
        <w:t xml:space="preserve">五章“项目采购需求”。</w:t>
      </w:r>
      <w:r>
        <w:rPr>
          <w:rFonts w:hint="eastAsia" w:ascii="宋体" w:hAnsi="宋体" w:eastAsia="宋体" w:cs="宋体"/>
          <w:sz w:val="24"/>
          <w:szCs w:val="24"/>
          <w:highlight w:val="none"/>
        </w:rPr>
      </w:r>
      <w:r/>
    </w:p>
    <w:p>
      <w:pPr>
        <w:pStyle w:val="663"/>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供货期限</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eastAsia="zh-CN"/>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二、申请人的资格要求（适用各个采购包）</w:t>
      </w:r>
      <w:r>
        <w:rPr>
          <w:rFonts w:hint="eastAsia" w:ascii="宋体" w:hAnsi="宋体" w:eastAsia="宋体" w:cs="宋体"/>
          <w:b/>
          <w:bCs/>
          <w:sz w:val="24"/>
          <w:szCs w:val="24"/>
          <w:highlight w:val="none"/>
          <w:lang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lang w:val="en-US" w:eastAsia="zh-CN"/>
        </w:rPr>
      </w:r>
      <w:r/>
    </w:p>
    <w:p>
      <w:pPr>
        <w:pStyle w:val="663"/>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rPr>
          <w:rFonts w:hint="eastAsia" w:ascii="宋体" w:hAnsi="宋体" w:eastAsia="宋体" w:cs="宋体"/>
          <w:sz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700"/>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rPr>
          <w:rFonts w:hint="eastAsia" w:ascii="宋体" w:hAnsi="宋体" w:eastAsia="宋体" w:cs="宋体"/>
          <w:highlight w:val="none"/>
          <w:lang w:val="en-US" w:eastAsia="zh-CN"/>
        </w:rPr>
      </w:r>
      <w:r/>
    </w:p>
    <w:p>
      <w:pPr>
        <w:pStyle w:val="781"/>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6-2-5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rPr>
          <w:rFonts w:hint="eastAsia" w:ascii="宋体" w:hAnsi="宋体" w:eastAsia="宋体" w:cs="宋体"/>
          <w:szCs w:val="24"/>
          <w:highlight w:val="none"/>
          <w:lang w:val="en-US"/>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rPr>
          <w:rFonts w:hint="eastAsia" w:ascii="宋体" w:hAnsi="宋体" w:eastAsia="宋体" w:cs="宋体"/>
          <w:sz w:val="24"/>
          <w:szCs w:val="24"/>
          <w:highlight w:val="none"/>
          <w:lang w:val="en-US"/>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rPr>
          <w:rFonts w:hint="eastAsia" w:ascii="宋体" w:hAnsi="宋体" w:eastAsia="宋体" w:cs="宋体"/>
          <w:sz w:val="24"/>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rPr>
          <w:rFonts w:hint="eastAsia" w:ascii="宋体" w:hAnsi="宋体" w:eastAsia="宋体" w:cs="宋体"/>
          <w:szCs w:val="24"/>
          <w:highlight w:val="none"/>
          <w:lang w:val="en-US"/>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其他未列明行业</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rPr>
          <w:rFonts w:hint="eastAsia" w:ascii="宋体" w:hAnsi="宋体" w:eastAsia="宋体" w:cs="宋体"/>
          <w:b/>
          <w:bCs/>
          <w:sz w:val="24"/>
          <w:szCs w:val="24"/>
          <w:highlight w:val="none"/>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rPr>
          <w:rFonts w:hint="eastAsia" w:ascii="宋体" w:hAnsi="宋体" w:eastAsia="宋体" w:cs="宋体"/>
          <w:szCs w:val="24"/>
          <w:highlight w:val="none"/>
          <w:lang w:val="en-US"/>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rPr>
          <w:rFonts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rPr>
          <w:rFonts w:ascii="宋体" w:hAnsi="宋体" w:eastAsia="宋体" w:cs="宋体"/>
          <w:sz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rPr>
          <w:rFonts w:hint="eastAsia" w:ascii="宋体" w:hAnsi="宋体" w:eastAsia="宋体" w:cs="宋体"/>
          <w:szCs w:val="24"/>
          <w:highlight w:val="none"/>
          <w:lang w:val="en-US" w:eastAsia="zh-CN"/>
        </w:rPr>
      </w:r>
      <w:r/>
    </w:p>
    <w:p>
      <w:pPr>
        <w:pStyle w:val="690"/>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rPr>
          <w:rFonts w:hint="eastAsia" w:ascii="宋体" w:hAnsi="宋体" w:eastAsia="宋体" w:cs="宋体"/>
          <w:szCs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rPr>
          <w:rFonts w:hint="eastAsia" w:ascii="宋体" w:hAnsi="宋体" w:eastAsia="宋体" w:cs="宋体"/>
          <w:bCs/>
          <w:sz w:val="32"/>
          <w:szCs w:val="32"/>
          <w:highlight w:val="none"/>
        </w:rPr>
      </w:r>
      <w:r/>
    </w:p>
    <w:p>
      <w:pPr>
        <w:pStyle w:val="663"/>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Pr>
          <w:rFonts w:hint="eastAsia" w:ascii="宋体" w:hAnsi="宋体" w:eastAsia="宋体" w:cs="宋体"/>
          <w:b/>
          <w:bCs/>
          <w:sz w:val="32"/>
          <w:szCs w:val="32"/>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lang w:eastAsia="zh-CN"/>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rPr>
          <w:rFonts w:hint="eastAsia" w:ascii="宋体" w:hAnsi="宋体" w:eastAsia="宋体" w:cs="宋体"/>
          <w:bCs/>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rPr>
          <w:rFonts w:hint="eastAsia" w:ascii="宋体" w:hAnsi="宋体" w:eastAsia="宋体" w:cs="宋体"/>
          <w:b/>
          <w:bCs/>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rPr>
          <w:rFonts w:hint="eastAsia" w:ascii="宋体" w:hAnsi="宋体" w:eastAsia="宋体" w:cs="宋体"/>
          <w:b/>
          <w:bCs/>
          <w:sz w:val="24"/>
          <w:szCs w:val="24"/>
          <w:highlight w:val="none"/>
          <w:lang w:val="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rPr>
          <w:rFonts w:hint="eastAsia" w:ascii="宋体" w:hAnsi="宋体" w:eastAsia="宋体" w:cs="宋体"/>
          <w:sz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513029214"/>
      <w:r/>
      <w:bookmarkStart w:id="3" w:name="_Toc16938530"/>
      <w:r/>
      <w:bookmarkStart w:id="4" w:name="_Toc20823286"/>
      <w:r/>
      <w:bookmarkStart w:id="5" w:name="_Toc462564073"/>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16938531"/>
      <w:r/>
      <w:bookmarkStart w:id="7" w:name="_Toc462564074"/>
      <w:r/>
      <w:bookmarkStart w:id="8" w:name="_Toc513029215"/>
      <w:r/>
      <w:bookmarkStart w:id="9" w:name="_Toc20823287"/>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14577357"/>
      <w:r/>
      <w:bookmarkStart w:id="11" w:name="_Toc513029219"/>
      <w:r/>
      <w:bookmarkStart w:id="12" w:name="_Toc49090509"/>
      <w:r/>
      <w:bookmarkStart w:id="13" w:name="_Toc14577354"/>
      <w:r/>
      <w:bookmarkStart w:id="14" w:name="_Toc513029216"/>
      <w:r/>
      <w:bookmarkStart w:id="15" w:name="_Toc49090507"/>
      <w:r/>
      <w:bookmarkStart w:id="16" w:name="_Toc49090508"/>
      <w:r/>
      <w:bookmarkStart w:id="17" w:name="_Toc14577355"/>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End w:id="13"/>
      <w:r/>
      <w:bookmarkEnd w:id="14"/>
      <w:r/>
      <w:bookmarkEnd w:id="15"/>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16"/>
      <w:r/>
      <w:bookmarkEnd w:id="17"/>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848"/>
      <w:r/>
      <w:bookmarkEnd w:id="18"/>
      <w:r/>
      <w:bookmarkStart w:id="19" w:name="_Hlt26954731"/>
      <w:r/>
      <w:bookmarkEnd w:id="19"/>
      <w:r/>
      <w:bookmarkStart w:id="20" w:name="_Hlt26670486"/>
      <w:r/>
      <w:bookmarkEnd w:id="20"/>
      <w:r/>
      <w:bookmarkStart w:id="21" w:name="_Hlt26670482"/>
      <w:r/>
      <w:bookmarkEnd w:id="21"/>
      <w:r/>
      <w:bookmarkStart w:id="22" w:name="_Hlt26954846"/>
      <w:r/>
      <w:bookmarkEnd w:id="22"/>
      <w:r>
        <w:rPr>
          <w:rFonts w:hint="eastAsia" w:ascii="宋体" w:hAnsi="宋体" w:eastAsia="宋体" w:cs="宋体"/>
          <w:b/>
          <w:bCs/>
          <w:sz w:val="24"/>
          <w:szCs w:val="24"/>
          <w:highlight w:val="none"/>
        </w:rPr>
        <w:t xml:space="preserve">12.技术要求响应及偏离表、商务要求响应及偏离表（如有）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49090510"/>
      <w:r/>
      <w:bookmarkStart w:id="24" w:name="_Toc14577359"/>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23"/>
      <w:r/>
      <w:bookmarkEnd w:id="24"/>
      <w:r>
        <w:rPr>
          <w:rFonts w:hint="eastAsia" w:ascii="宋体" w:hAnsi="宋体" w:eastAsia="宋体" w:cs="宋体"/>
          <w:b/>
          <w:bCs/>
          <w:sz w:val="24"/>
          <w:szCs w:val="24"/>
          <w:highlight w:val="none"/>
          <w:lang w:val="en-US" w:eastAsia="zh-CN"/>
        </w:rPr>
        <w:t xml:space="preserve">15.投标保证金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rPr>
          <w:rFonts w:hint="eastAsia" w:ascii="宋体" w:hAnsi="宋体" w:eastAsia="宋体" w:cs="宋体"/>
          <w:bCs/>
          <w:sz w:val="24"/>
          <w:szCs w:val="24"/>
          <w:highlight w:val="none"/>
        </w:rPr>
      </w:r>
      <w:r/>
    </w:p>
    <w:p>
      <w:pPr>
        <w:pStyle w:val="663"/>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采用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6.2</w:t>
      </w:r>
      <w:r>
        <w:rPr>
          <w:rFonts w:hint="eastAsia" w:ascii="宋体" w:hAnsi="宋体" w:eastAsia="宋体" w:cs="宋体"/>
          <w:bCs/>
          <w:sz w:val="24"/>
          <w:szCs w:val="24"/>
          <w:highlight w:val="none"/>
        </w:rPr>
        <w:t xml:space="preserve">的要求编制方案的，按未提供方案处理。</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投标人在递交投标文件后可以对其修改或撤回，但这种修改和撤回，必须在规定的投标截止时间前。</w:t>
      </w:r>
      <w:r>
        <w:rPr>
          <w:rFonts w:hint="eastAsia" w:ascii="宋体" w:hAnsi="宋体" w:eastAsia="宋体" w:cs="宋体"/>
          <w:color w:val="ff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20823302"/>
      <w:r/>
      <w:bookmarkStart w:id="26" w:name="_Toc16938546"/>
      <w:r/>
      <w:bookmarkStart w:id="27" w:name="_Toc513029230"/>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供应商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t xml:space="preserve">投标人的报价属于《关于推动解决政府采购异常低价问题相关工作的通知》（苏财购〔2025〕62号）异常低价情形的，投标人不提供书面说明、证明材料，或者提供的书面说明、证明材料不能证明其报价合理性的。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其他法律、法规及本招标文件规定的无效响应的情形。</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rPr>
          <w:rFonts w:hint="eastAsia" w:ascii="宋体" w:hAnsi="宋体" w:eastAsia="宋体" w:cs="宋体"/>
          <w:sz w:val="24"/>
          <w:szCs w:val="24"/>
          <w:highlight w:val="none"/>
        </w:rPr>
      </w:r>
      <w:r/>
    </w:p>
    <w:p>
      <w:pPr>
        <w:pStyle w:val="663"/>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rPr>
          <w:rFonts w:hint="eastAsia" w:ascii="宋体" w:hAnsi="宋体"/>
          <w:b/>
          <w:bCs w:val="0"/>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（1）投标（响应）报价低于采购项目预算50%的，即投标报价＜采购项目预算×50%；</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标报告中进行记录。</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.2评标委员会按招标文件第三章中公布的评标标准对每份合格投标文件进行评审，确定中标投标人，任何单项因素的最优不能作为中标的保证。</w:t>
      </w:r>
      <w:r>
        <w:rPr>
          <w:rFonts w:hint="eastAsia" w:ascii="宋体" w:hAnsi="宋体" w:eastAsia="宋体" w:cs="宋体"/>
          <w:sz w:val="24"/>
          <w:szCs w:val="24"/>
          <w:highlight w:val="none"/>
          <w:lang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16938548"/>
      <w:r/>
      <w:bookmarkStart w:id="29" w:name="_Toc20823304"/>
      <w:r/>
      <w:bookmarkStart w:id="30" w:name="_Toc513029232"/>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r>
        <w:rPr>
          <w:rFonts w:hint="eastAsia" w:ascii="宋体" w:hAnsi="宋体" w:eastAsia="宋体" w:cs="宋体"/>
          <w:sz w:val="24"/>
          <w:szCs w:val="24"/>
          <w:highlight w:val="none"/>
        </w:rPr>
      </w:r>
      <w:r/>
    </w:p>
    <w:p>
      <w:pPr>
        <w:pStyle w:val="663"/>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bookmarkEnd w:id="28"/>
      <w:r/>
      <w:bookmarkEnd w:id="29"/>
      <w:r/>
      <w:bookmarkEnd w:id="30"/>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.确定中标投标人</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自动放弃处理。中标投标人在领取中标通知书的同时必须递交与电子投标文件一致的纸质投标文件（印章齐全）正本一份，副本一份。</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663"/>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rPr>
          <w:rFonts w:hint="eastAsia" w:ascii="宋体" w:hAnsi="宋体" w:eastAsia="宋体" w:cs="宋体"/>
          <w:sz w:val="24"/>
          <w:szCs w:val="24"/>
          <w:highlight w:val="none"/>
          <w:lang w:val="en-US" w:eastAsia="zh-CN"/>
        </w:rPr>
      </w:r>
      <w:r/>
    </w:p>
    <w:p>
      <w:pPr>
        <w:pStyle w:val="663"/>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rPr>
          <w:rFonts w:hint="eastAsia" w:ascii="宋体" w:hAnsi="宋体" w:eastAsia="宋体" w:cs="宋体"/>
          <w:b/>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sz w:val="24"/>
          <w:szCs w:val="24"/>
          <w:highlight w:val="none"/>
          <w:u w:val="none"/>
          <w:lang w:eastAsia="zh-CN"/>
        </w:rPr>
        <w:t xml:space="preserve">（供应商需在“第六章投标文件格式”的“附件2投标分项报价表”中填写比例数值）</w:t>
      </w:r>
      <w:r>
        <w:rPr>
          <w:rFonts w:hint="eastAsia" w:ascii="宋体" w:hAnsi="宋体" w:eastAsia="宋体" w:cs="宋体"/>
          <w:sz w:val="24"/>
          <w:szCs w:val="24"/>
          <w:highlight w:val="none"/>
          <w:lang w:eastAsia="zh-CN"/>
        </w:rPr>
        <w:t xml:space="preserve">，依法对该供应商提供的全部产品给予价格评审优惠，即对该供应商提供的全部产品的总报价给予20%的价格扣除，用扣除后的价格参与评审。供应商未填写比例数值，或比例数值</w:t>
      </w:r>
      <w:r>
        <w:rPr>
          <w:rFonts w:hint="eastAsia" w:ascii="方正魏碑_GBK" w:hAnsi="方正魏碑_GBK" w:eastAsia="方正魏碑_GBK" w:cs="方正魏碑_GBK"/>
          <w:color w:val="ff0000"/>
          <w:sz w:val="24"/>
          <w:szCs w:val="24"/>
          <w:highlight w:val="none"/>
        </w:rPr>
        <w:t xml:space="preserve">未达到</w:t>
      </w:r>
      <w:r>
        <w:rPr>
          <w:rFonts w:hint="eastAsia" w:ascii="宋体" w:hAnsi="宋体" w:eastAsia="宋体" w:cs="宋体"/>
          <w:sz w:val="24"/>
          <w:szCs w:val="24"/>
          <w:highlight w:val="none"/>
          <w:lang w:eastAsia="zh-CN"/>
        </w:rPr>
        <w:t xml:space="preserve">80%的，将不享受本国产品价格评审优惠。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eastAsia="宋体" w:cs="宋体"/>
          <w:sz w:val="24"/>
          <w:szCs w:val="24"/>
          <w:highlight w:val="none"/>
          <w:lang w:eastAsia="zh-CN"/>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供应商需在《声明函》中逐一、准确填写产品名称、厂名、生产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sz w:val="24"/>
          <w:szCs w:val="24"/>
          <w:highlight w:val="none"/>
        </w:rPr>
      </w:r>
      <w:r/>
    </w:p>
    <w:p>
      <w:pPr>
        <w:pStyle w:val="663"/>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Pr>
          <w:rFonts w:hint="eastAsia" w:ascii="宋体" w:hAnsi="宋体" w:eastAsia="宋体" w:cs="宋体"/>
          <w:b/>
          <w:sz w:val="32"/>
          <w:szCs w:val="32"/>
          <w:highlight w:val="none"/>
        </w:rPr>
      </w:r>
      <w:r/>
    </w:p>
    <w:p>
      <w:pPr>
        <w:pStyle w:val="663"/>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宋体"/>
          <w:sz w:val="24"/>
          <w:highlight w:val="none"/>
          <w:lang w:val="zh-CN"/>
        </w:rPr>
      </w:r>
      <w:r/>
    </w:p>
    <w:p>
      <w:pPr>
        <w:pStyle w:val="663"/>
        <w:ind w:right="0" w:firstLine="480"/>
        <w:jc w:val="left"/>
        <w:keepLines w:val="0"/>
        <w:keepNext w:val="0"/>
        <w:pageBreakBefore w:val="0"/>
        <w:spacing w:line="480" w:lineRule="exact"/>
        <w:widowControl w:val="off"/>
        <w:rPr>
          <w:rFonts w:hint="eastAsia" w:ascii="宋体" w:hAnsi="宋体" w:cs="宋体"/>
          <w:sz w:val="24"/>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b/>
          <w:bCs/>
          <w:sz w:val="24"/>
          <w:highlight w:val="none"/>
          <w:lang w:val="zh-CN"/>
        </w:rPr>
        <w:t xml:space="preserve">供应商可以同时投</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val="zh-CN"/>
        </w:rPr>
        <w:t xml:space="preserve">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但只能中其中的1个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文件继续参与后续标段的评审。开评标按</w:t>
      </w:r>
      <w:r>
        <w:rPr>
          <w:rFonts w:hint="eastAsia" w:ascii="宋体" w:hAnsi="宋体" w:eastAsia="宋体" w:cs="宋体"/>
          <w:b/>
          <w:bCs/>
          <w:sz w:val="24"/>
          <w:highlight w:val="none"/>
          <w:lang w:val="en-US" w:eastAsia="zh-CN"/>
        </w:rPr>
        <w:t xml:space="preserve">采购包1、采购包2</w:t>
      </w:r>
      <w:r>
        <w:rPr>
          <w:rFonts w:hint="eastAsia" w:ascii="宋体" w:hAnsi="宋体" w:eastAsia="宋体" w:cs="宋体"/>
          <w:b/>
          <w:bCs/>
          <w:sz w:val="24"/>
          <w:highlight w:val="none"/>
          <w:lang w:val="zh-CN"/>
        </w:rPr>
        <w:t xml:space="preserve">的顺序进行。</w:t>
      </w:r>
      <w:r>
        <w:rPr>
          <w:rFonts w:hint="eastAsia" w:ascii="宋体" w:hAnsi="宋体" w:cs="宋体"/>
          <w:sz w:val="24"/>
        </w:rPr>
      </w:r>
      <w:r/>
    </w:p>
    <w:p>
      <w:pPr>
        <w:pStyle w:val="663"/>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663"/>
        <w:ind w:right="0" w:firstLine="482"/>
        <w:jc w:val="left"/>
        <w:keepLines w:val="0"/>
        <w:keepNext w:val="0"/>
        <w:pageBreakBefore w:val="0"/>
        <w:spacing w:line="48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1、适用采购包1</w:t>
      </w:r>
      <w:r>
        <w:rPr>
          <w:rFonts w:ascii="宋体" w:hAnsi="宋体" w:eastAsia="宋体" w:cs="宋体"/>
          <w:b/>
          <w:bCs/>
          <w:sz w:val="24"/>
          <w:highlight w:val="none"/>
          <w:lang w:val="en-US" w:eastAsia="zh-CN"/>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663"/>
        <w:ind w:right="0" w:firstLine="482"/>
        <w:jc w:val="left"/>
        <w:keepLines w:val="0"/>
        <w:keepNext w:val="0"/>
        <w:pageBreakBefore w:val="0"/>
        <w:spacing w:line="480" w:lineRule="exact"/>
        <w:widowControl w:val="off"/>
        <w:rPr>
          <w:rFonts w:hint="eastAsia" w:ascii="宋体" w:hAnsi="宋体" w:cs="宋体"/>
          <w:b/>
          <w:bCs/>
          <w:sz w:val="24"/>
          <w:lang w:bidi="ar"/>
        </w:rPr>
      </w:pPr>
      <w:r>
        <w:rPr>
          <w:rFonts w:hint="eastAsia" w:ascii="宋体" w:hAnsi="宋体" w:eastAsia="宋体" w:cs="宋体"/>
          <w:b/>
          <w:bCs/>
          <w:sz w:val="24"/>
          <w:highlight w:val="none"/>
          <w:lang w:val="en-US" w:eastAsia="zh-CN"/>
        </w:rPr>
        <w:t xml:space="preserve">2、适用采购包2</w:t>
      </w:r>
      <w:r>
        <w:rPr>
          <w:rFonts w:hint="eastAsia" w:ascii="宋体" w:hAnsi="宋体" w:cs="宋体"/>
          <w:b/>
          <w:bCs/>
          <w:sz w:val="24"/>
          <w:lang w:bidi="ar"/>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rPr>
          <w:rFonts w:hint="eastAsia" w:ascii="宋体" w:hAnsi="宋体" w:eastAsia="宋体" w:cs="宋体"/>
          <w:b/>
          <w:bCs/>
          <w:color w:val="ff0000"/>
          <w:sz w:val="24"/>
          <w:highlight w:val="none"/>
        </w:rPr>
      </w:r>
      <w:r/>
    </w:p>
    <w:p>
      <w:pPr>
        <w:pStyle w:val="663"/>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rPr>
          <w:rFonts w:hint="eastAsia" w:ascii="宋体" w:hAnsi="宋体" w:eastAsia="宋体" w:cs="宋体"/>
          <w:b/>
          <w:bCs/>
          <w:sz w:val="36"/>
          <w:szCs w:val="36"/>
          <w:highlight w:val="none"/>
        </w:rPr>
      </w:r>
      <w:r/>
    </w:p>
    <w:p>
      <w:pPr>
        <w:pStyle w:val="663"/>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Pr>
          <w:rFonts w:hint="eastAsia" w:ascii="宋体" w:hAnsi="宋体" w:eastAsia="宋体" w:cs="宋体"/>
          <w:b/>
          <w:bCs/>
          <w:sz w:val="32"/>
          <w:szCs w:val="32"/>
          <w:highlight w:val="none"/>
        </w:rPr>
      </w:r>
      <w:r/>
    </w:p>
    <w:p>
      <w:pPr>
        <w:pStyle w:val="663"/>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结合本项目具体情况协商后签订。</w:t>
      </w:r>
      <w:r>
        <w:rPr>
          <w:rFonts w:hint="eastAsia" w:ascii="宋体" w:hAnsi="宋体" w:eastAsia="宋体" w:cs="宋体"/>
          <w:sz w:val="28"/>
          <w:szCs w:val="28"/>
          <w:highlight w:val="none"/>
        </w:rPr>
      </w:r>
      <w:r/>
    </w:p>
    <w:p>
      <w:pPr>
        <w:pStyle w:val="663"/>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rPr>
          <w:rFonts w:hint="eastAsia" w:ascii="宋体" w:hAnsi="宋体" w:eastAsia="宋体" w:cs="宋体"/>
          <w:b/>
          <w:bCs/>
          <w:sz w:val="28"/>
          <w:szCs w:val="28"/>
          <w:highlight w:val="none"/>
        </w:rPr>
      </w:r>
      <w:r/>
    </w:p>
    <w:tbl>
      <w:tblPr>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rPr>
                <w:rFonts w:hint="eastAsia" w:ascii="宋体" w:hAnsi="宋体" w:eastAsia="宋体" w:cs="宋体"/>
                <w:b/>
                <w:bCs/>
                <w:sz w:val="24"/>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rPr>
                <w:rFonts w:hint="eastAsia" w:ascii="宋体" w:hAnsi="宋体" w:eastAsia="宋体" w:cs="宋体"/>
                <w:highlight w:val="none"/>
              </w:rPr>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供货期限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rPr>
                <w:rFonts w:hint="eastAsia" w:ascii="宋体" w:hAnsi="宋体" w:eastAsia="宋体" w:cs="宋体"/>
                <w:sz w:val="24"/>
                <w:highlight w:val="none"/>
                <w:shd w:val="clear" w:color="auto" w:fill="ffffff"/>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rPr>
                <w:rFonts w:hint="eastAsia" w:ascii="宋体" w:hAnsi="宋体" w:eastAsia="宋体" w:cs="宋体"/>
                <w:bCs/>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rPr>
                <w:rFonts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rPr>
                <w:rFonts w:hint="eastAsia" w:ascii="宋体" w:hAnsi="宋体" w:eastAsia="宋体" w:cs="宋体"/>
                <w:bCs/>
                <w:sz w:val="24"/>
                <w:highlight w:val="none"/>
              </w:rPr>
            </w:r>
            <w:r/>
          </w:p>
        </w:tc>
      </w:tr>
    </w:tbl>
    <w:p>
      <w:pPr>
        <w:pStyle w:val="663"/>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rPr>
          <w:rFonts w:hint="eastAsia" w:ascii="宋体" w:hAnsi="宋体" w:eastAsia="宋体" w:cs="宋体"/>
          <w:b/>
          <w:bCs/>
          <w:sz w:val="28"/>
          <w:szCs w:val="28"/>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rPr>
          <w:rFonts w:hint="eastAsia" w:ascii="宋体" w:hAnsi="宋体" w:eastAsia="宋体" w:cs="宋体"/>
          <w:b/>
          <w:bCs/>
          <w:sz w:val="24"/>
          <w:highlight w:val="none"/>
        </w:rPr>
      </w:r>
      <w:r/>
    </w:p>
    <w:p>
      <w:pPr>
        <w:pStyle w:val="663"/>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sz w:val="24"/>
          <w:highlight w:val="none"/>
        </w:rPr>
      </w:r>
      <w:r/>
    </w:p>
    <w:p>
      <w:pPr>
        <w:pStyle w:val="663"/>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rPr>
          <w:rFonts w:hint="eastAsia" w:ascii="宋体" w:hAnsi="宋体" w:eastAsia="宋体" w:cs="宋体"/>
          <w:b/>
          <w:bCs/>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rPr>
          <w:rFonts w:hint="eastAsia" w:ascii="宋体" w:hAnsi="宋体" w:eastAsia="宋体" w:cs="宋体"/>
          <w:sz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rPr>
          <w:rFonts w:hint="eastAsia" w:ascii="宋体" w:hAnsi="宋体" w:eastAsia="宋体" w:cs="宋体"/>
          <w:sz w:val="24"/>
          <w:highlight w:val="none"/>
        </w:rPr>
      </w:r>
      <w:r/>
    </w:p>
    <w:p>
      <w:pPr>
        <w:pStyle w:val="663"/>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rPr>
          <w:rFonts w:hint="eastAsia" w:ascii="宋体" w:hAnsi="宋体" w:eastAsia="宋体" w:cs="宋体"/>
          <w:b/>
          <w:bCs/>
          <w:sz w:val="32"/>
          <w:szCs w:val="32"/>
          <w:highlight w:val="none"/>
          <w:lang w:eastAsia="zh-CN"/>
        </w:rPr>
      </w:r>
      <w:r/>
    </w:p>
    <w:p>
      <w:pPr>
        <w:pStyle w:val="663"/>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rPr>
          <w:rFonts w:hint="eastAsia" w:eastAsia="宋体"/>
          <w:b/>
          <w:bCs/>
          <w:color w:val="000000"/>
          <w:sz w:val="24"/>
          <w:lang w:eastAsia="zh-CN"/>
        </w:rPr>
      </w:r>
      <w:r/>
    </w:p>
    <w:p>
      <w:pPr>
        <w:pStyle w:val="663"/>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rPr>
        <w:t xml:space="preserve">供应商（全称）：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rPr>
          <w:rFonts w:ascii="Times New Roman" w:hAnsi="Times New Roman" w:eastAsia="宋体" w:cs="Times New Roman"/>
          <w:b/>
          <w:bCs/>
          <w:color w:val="000000"/>
          <w:sz w:val="24"/>
          <w:u w:val="single"/>
          <w:lang w:val="en-US" w:eastAsia="zh-CN"/>
        </w:rPr>
      </w:r>
      <w:r/>
    </w:p>
    <w:p>
      <w:pPr>
        <w:pStyle w:val="663"/>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根据《中华人民共和国政府采购法》、《中华人民共和国政府采购法实施条例》、《中华人民共和国民法典》等法律法规的规定，双方按照招标结果签订本合同。</w:t>
      </w:r>
      <w:r>
        <w:rPr>
          <w:rFonts w:hint="eastAsia" w:ascii="Times New Roman" w:hAnsi="Times New Roman" w:eastAsia="宋体" w:cs="Times New Roman"/>
          <w:color w:val="000000"/>
          <w:sz w:val="24"/>
          <w:szCs w:val="24"/>
          <w:lang w:val="en-US" w:eastAsia="zh-CN" w:bidi="ar-SA"/>
        </w:rPr>
      </w:r>
      <w:r/>
    </w:p>
    <w:p>
      <w:pPr>
        <w:pStyle w:val="692"/>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一、合同文件：下列关于金湖县政府采购的招、投标文件是构成本合同不可分割的部分：</w:t>
      </w:r>
      <w:r>
        <w:rPr>
          <w:rFonts w:hint="eastAsia" w:ascii="宋体" w:hAnsi="宋体" w:eastAsia="宋体" w:cs="宋体"/>
          <w:b/>
          <w:bCs/>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rPr>
          <w:rFonts w:hint="eastAsia" w:ascii="宋体" w:hAnsi="宋体" w:eastAsia="宋体" w:cs="宋体"/>
          <w:color w:val="000000"/>
          <w:sz w:val="24"/>
          <w:szCs w:val="24"/>
          <w:lang w:val="en-US" w:eastAsia="zh-CN" w:bidi="ar-SA"/>
        </w:rPr>
      </w:r>
      <w:r/>
    </w:p>
    <w:p>
      <w:pPr>
        <w:pStyle w:val="692"/>
        <w:ind w:left="0" w:firstLine="482"/>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rPr>
          <w:rFonts w:hint="eastAsia" w:ascii="宋体" w:hAnsi="宋体" w:eastAsia="宋体" w:cs="宋体"/>
          <w:color w:val="000000"/>
          <w:sz w:val="24"/>
          <w:szCs w:val="24"/>
          <w:lang w:val="en-US" w:eastAsia="zh-CN" w:bidi="ar-SA"/>
        </w:rPr>
      </w:r>
      <w:r/>
    </w:p>
    <w:p>
      <w:pPr>
        <w:pStyle w:val="786"/>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rPr>
          <w:rFonts w:hint="eastAsia" w:hAnsi="宋体" w:cs="宋体"/>
          <w:b/>
          <w:color w:val="000000"/>
          <w:sz w:val="24"/>
          <w:szCs w:val="24"/>
        </w:rPr>
      </w:r>
      <w:r/>
    </w:p>
    <w:tbl>
      <w:tblPr>
        <w:tblStyle w:val="787"/>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序号</w:t>
            </w:r>
            <w:r>
              <w:rPr>
                <w:rFonts w:hint="eastAsia" w:ascii="宋体" w:hAnsi="宋体" w:eastAsia="宋体" w:cs="宋体"/>
                <w:b/>
                <w:bCs/>
                <w:sz w:val="21"/>
                <w:szCs w:val="21"/>
                <w:vertAlign w:val="baseline"/>
                <w:lang w:eastAsia="zh-CN"/>
              </w:rPr>
            </w:r>
            <w:r/>
          </w:p>
        </w:tc>
        <w:tc>
          <w:tcPr>
            <w:tcW w:w="215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设备名称</w:t>
            </w:r>
            <w:r>
              <w:rPr>
                <w:rFonts w:ascii="宋体" w:hAnsi="宋体" w:eastAsia="宋体" w:cs="宋体"/>
                <w:b/>
                <w:bCs/>
                <w:sz w:val="21"/>
                <w:szCs w:val="21"/>
                <w:vertAlign w:val="baseline"/>
                <w:lang w:val="en-US" w:eastAsia="zh-CN"/>
              </w:rPr>
            </w:r>
            <w:r/>
          </w:p>
        </w:tc>
        <w:tc>
          <w:tcPr>
            <w:tcW w:w="1294"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单位</w:t>
            </w:r>
            <w:r>
              <w:rPr>
                <w:rFonts w:hint="eastAsia" w:ascii="宋体" w:hAnsi="宋体" w:eastAsia="宋体" w:cs="宋体"/>
                <w:b/>
                <w:bCs/>
                <w:sz w:val="21"/>
                <w:szCs w:val="21"/>
                <w:vertAlign w:val="baseline"/>
                <w:lang w:eastAsia="zh-CN"/>
              </w:rPr>
            </w:r>
            <w:r/>
          </w:p>
        </w:tc>
        <w:tc>
          <w:tcPr>
            <w:tcW w:w="115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数量</w:t>
            </w:r>
            <w:r>
              <w:rPr>
                <w:rFonts w:hint="eastAsia" w:ascii="宋体" w:hAnsi="宋体" w:eastAsia="宋体" w:cs="宋体"/>
                <w:b/>
                <w:bCs/>
                <w:sz w:val="21"/>
                <w:szCs w:val="21"/>
                <w:vertAlign w:val="baseline"/>
                <w:lang w:eastAsia="zh-CN"/>
              </w:rPr>
            </w:r>
            <w:r/>
          </w:p>
        </w:tc>
        <w:tc>
          <w:tcPr>
            <w:tcW w:w="120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eastAsia="zh-CN"/>
              </w:rPr>
            </w:r>
            <w:r/>
          </w:p>
        </w:tc>
        <w:tc>
          <w:tcPr>
            <w:tcW w:w="151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eastAsia="zh-CN"/>
              </w:rPr>
            </w:r>
            <w:r/>
          </w:p>
        </w:tc>
        <w:tc>
          <w:tcPr>
            <w:tcW w:w="1297"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438"/>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w:t>
            </w: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hint="eastAsia" w:ascii="宋体" w:hAnsi="宋体" w:eastAsia="宋体" w:cs="宋体"/>
                <w:sz w:val="21"/>
                <w:szCs w:val="21"/>
                <w:vertAlign w:val="baseline"/>
                <w:lang w:eastAsia="zh-CN"/>
              </w:rPr>
              <w:outlineLvl w:val="8"/>
            </w:pPr>
            <w:r>
              <w:rPr>
                <w:rFonts w:hint="eastAsia" w:ascii="宋体" w:hAnsi="宋体" w:eastAsia="宋体" w:cs="宋体"/>
                <w:sz w:val="21"/>
                <w:szCs w:val="21"/>
                <w:vertAlign w:val="baseline"/>
                <w:lang w:eastAsia="zh-CN"/>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gridSpan w:val="2"/>
            <w:tcW w:w="32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eastAsia="zh-CN"/>
              </w:rPr>
              <w:t xml:space="preserve">合</w:t>
            </w: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计</w:t>
            </w:r>
            <w:r>
              <w:rPr>
                <w:rFonts w:hint="eastAsia" w:ascii="宋体" w:hAnsi="宋体" w:eastAsia="宋体" w:cs="宋体"/>
                <w:sz w:val="21"/>
                <w:szCs w:val="21"/>
                <w:vertAlign w:val="baseline"/>
              </w:rPr>
            </w:r>
            <w:r/>
          </w:p>
        </w:tc>
        <w:tc>
          <w:tcPr>
            <w:gridSpan w:val="5"/>
            <w:tcW w:w="64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tabs>
                <w:tab w:val="left" w:pos="3108" w:leader="none"/>
              </w:tabs>
              <w:rPr>
                <w:rFonts w:hint="eastAsia" w:ascii="宋体" w:hAnsi="宋体" w:eastAsia="宋体" w:cs="宋体"/>
                <w:sz w:val="21"/>
                <w:szCs w:val="21"/>
                <w:vertAlign w:val="baseline"/>
                <w:lang w:eastAsia="zh-CN"/>
              </w:rPr>
              <w:suppressLineNumbers w:val="0"/>
            </w:pPr>
            <w:r>
              <w:rPr>
                <w:rFonts w:hint="eastAsia" w:ascii="宋体" w:hAnsi="宋体" w:eastAsia="宋体" w:cs="宋体"/>
                <w:sz w:val="21"/>
                <w:szCs w:val="21"/>
                <w:vertAlign w:val="baseline"/>
                <w:lang w:eastAsia="zh-CN"/>
              </w:rPr>
              <w:t xml:space="preserve">大写：</w:t>
            </w:r>
            <w:r>
              <w:rPr>
                <w:rFonts w:hint="eastAsia" w:ascii="宋体" w:hAnsi="宋体" w:eastAsia="宋体" w:cs="宋体"/>
                <w:sz w:val="21"/>
                <w:szCs w:val="21"/>
                <w:vertAlign w:val="baseline"/>
                <w:lang w:val="en-US" w:eastAsia="zh-CN"/>
              </w:rPr>
              <w:t xml:space="preserve">             元（小写¥：          ）</w:t>
            </w:r>
            <w:r>
              <w:rPr>
                <w:rFonts w:hint="eastAsia" w:ascii="宋体" w:hAnsi="宋体" w:eastAsia="宋体" w:cs="宋体"/>
                <w:sz w:val="21"/>
                <w:szCs w:val="21"/>
                <w:vertAlign w:val="baseline"/>
                <w:lang w:eastAsia="zh-CN"/>
              </w:rPr>
            </w:r>
            <w:r/>
          </w:p>
        </w:tc>
      </w:tr>
    </w:tbl>
    <w:p>
      <w:pPr>
        <w:pStyle w:val="786"/>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四、</w:t>
      </w:r>
      <w:r>
        <w:rPr>
          <w:rFonts w:hint="eastAsia" w:hAnsi="宋体" w:eastAsia="宋体" w:cs="宋体"/>
          <w:b/>
          <w:sz w:val="24"/>
          <w:szCs w:val="24"/>
          <w:lang w:val="en-US" w:eastAsia="zh-CN"/>
        </w:rPr>
        <w:t xml:space="preserve">供货期限</w:t>
      </w:r>
      <w:r>
        <w:rPr>
          <w:rFonts w:hint="eastAsia" w:ascii="宋体" w:hAnsi="宋体" w:eastAsia="宋体" w:cs="宋体"/>
          <w:b/>
          <w:sz w:val="24"/>
          <w:szCs w:val="24"/>
        </w:rPr>
        <w:t xml:space="preserve">：</w:t>
      </w: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86"/>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rPr>
          <w:rFonts w:hint="eastAsia" w:ascii="宋体" w:hAnsi="宋体" w:eastAsia="宋体" w:cs="宋体"/>
          <w:b w:val="0"/>
          <w:bCs/>
          <w:sz w:val="24"/>
          <w:szCs w:val="24"/>
          <w:lang w:eastAsia="zh-CN"/>
        </w:rPr>
        <w:t xml:space="preserve">合格，满足采购需求</w:t>
      </w:r>
      <w:r>
        <w:rPr>
          <w:rFonts w:hint="eastAsia" w:ascii="宋体" w:hAnsi="宋体" w:eastAsia="宋体" w:cs="宋体"/>
          <w:b/>
          <w:bCs w:val="0"/>
          <w:sz w:val="24"/>
          <w:szCs w:val="24"/>
          <w:lang w:eastAsia="zh-CN"/>
        </w:rPr>
      </w:r>
      <w:r/>
    </w:p>
    <w:p>
      <w:pPr>
        <w:pStyle w:val="786"/>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rPr>
          <w:rFonts w:hint="eastAsia" w:ascii="宋体" w:hAnsi="宋体" w:eastAsia="宋体" w:cs="宋体"/>
          <w:b w:val="0"/>
          <w:bCs/>
          <w:sz w:val="24"/>
          <w:szCs w:val="24"/>
          <w:lang w:eastAsia="zh-CN"/>
        </w:rPr>
        <w:t xml:space="preserve">采购人指定地点</w:t>
      </w:r>
      <w:r>
        <w:rPr>
          <w:rFonts w:hint="eastAsia" w:ascii="宋体" w:hAnsi="宋体" w:eastAsia="宋体" w:cs="宋体"/>
          <w:b w:val="0"/>
          <w:bCs/>
          <w:sz w:val="24"/>
          <w:szCs w:val="24"/>
          <w:lang w:eastAsia="zh-CN"/>
        </w:rPr>
      </w:r>
      <w:r/>
    </w:p>
    <w:p>
      <w:pPr>
        <w:pStyle w:val="786"/>
        <w:ind w:firstLine="482"/>
        <w:jc w:val="left"/>
        <w:keepLines w:val="0"/>
        <w:keepNext w:val="0"/>
        <w:pageBreakBefore w:val="0"/>
        <w:spacing w:line="400" w:lineRule="exact"/>
        <w:rPr>
          <w:rFonts w:ascii="宋体" w:hAnsi="宋体" w:eastAsia="宋体" w:cs="宋体"/>
          <w:b/>
          <w:sz w:val="24"/>
          <w:szCs w:val="24"/>
          <w:lang w:val="en-US" w:eastAsia="zh-CN"/>
        </w:rPr>
      </w:pPr>
      <w:r>
        <w:rPr>
          <w:rFonts w:hint="eastAsia" w:ascii="宋体" w:hAnsi="宋体" w:eastAsia="宋体" w:cs="宋体"/>
          <w:b/>
          <w:sz w:val="24"/>
          <w:szCs w:val="24"/>
          <w:lang w:eastAsia="zh-CN"/>
        </w:rPr>
        <w:t xml:space="preserve">七、质保期：</w:t>
      </w:r>
      <w:r>
        <w:rPr>
          <w:rFonts w:hint="eastAsia" w:hAnsi="宋体" w:eastAsia="宋体" w:cs="宋体"/>
          <w:b/>
          <w:sz w:val="24"/>
          <w:szCs w:val="24"/>
          <w:u w:val="single"/>
          <w:lang w:val="en-US" w:eastAsia="zh-CN"/>
        </w:rPr>
        <w:t xml:space="preserve">    </w:t>
      </w:r>
      <w:r>
        <w:rPr>
          <w:rFonts w:hint="eastAsia" w:ascii="宋体" w:hAnsi="宋体" w:eastAsia="宋体" w:cs="宋体"/>
          <w:b w:val="0"/>
          <w:bCs/>
          <w:sz w:val="24"/>
          <w:szCs w:val="24"/>
          <w:lang w:val="en-US" w:eastAsia="zh-CN"/>
        </w:rPr>
        <w:t xml:space="preserve">年（自验收合格之日起算）</w:t>
      </w:r>
      <w:r>
        <w:rPr>
          <w:rFonts w:ascii="宋体" w:hAnsi="宋体" w:eastAsia="宋体" w:cs="宋体"/>
          <w:b/>
          <w:sz w:val="24"/>
          <w:szCs w:val="24"/>
          <w:lang w:val="en-US" w:eastAsia="zh-CN"/>
        </w:rPr>
      </w:r>
      <w:r/>
    </w:p>
    <w:p>
      <w:pPr>
        <w:pStyle w:val="663"/>
        <w:ind w:firstLine="482"/>
        <w:jc w:val="left"/>
        <w:keepLines w:val="0"/>
        <w:keepNext w:val="0"/>
        <w:pageBreakBefore w:val="0"/>
        <w:spacing w:line="400" w:lineRule="exact"/>
        <w:tabs>
          <w:tab w:val="left" w:pos="180" w:leader="none"/>
        </w:tabs>
        <w:rPr>
          <w:rFonts w:ascii="宋体" w:hAnsi="宋体" w:eastAsia="宋体" w:cs="宋体"/>
          <w:b w:val="0"/>
          <w:bCs/>
          <w:sz w:val="24"/>
          <w:szCs w:val="24"/>
          <w:lang w:val="en-US" w:eastAsia="zh-CN" w:bidi="ar-SA"/>
        </w:rPr>
      </w:pPr>
      <w:r>
        <w:rPr>
          <w:rFonts w:hint="eastAsia" w:ascii="宋体" w:hAnsi="宋体" w:cs="宋体"/>
          <w:b/>
          <w:bCs/>
          <w:color w:val="000000"/>
          <w:sz w:val="24"/>
          <w:lang w:eastAsia="zh-CN"/>
        </w:rPr>
        <w:t xml:space="preserve">八</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付款方式：</w:t>
      </w:r>
      <w:r>
        <w:rPr>
          <w:rFonts w:hint="eastAsia" w:ascii="宋体" w:hAnsi="宋体" w:cs="宋体"/>
          <w:sz w:val="24"/>
          <w:lang w:val="en-US" w:eastAsia="zh-CN"/>
        </w:rPr>
        <w:t xml:space="preserve">所有货物供货完成后付合同价的50%，经消防大队试用两个月，满足要求后出具验收合格证明付清余款。</w:t>
      </w:r>
      <w:r>
        <w:rPr>
          <w:rFonts w:ascii="宋体" w:hAnsi="宋体" w:eastAsia="宋体" w:cs="宋体"/>
          <w:b w:val="0"/>
          <w:bCs/>
          <w:sz w:val="24"/>
          <w:szCs w:val="24"/>
          <w:lang w:val="en-US" w:eastAsia="zh-CN" w:bidi="ar-SA"/>
        </w:rPr>
      </w:r>
      <w:r/>
    </w:p>
    <w:p>
      <w:pPr>
        <w:pStyle w:val="663"/>
        <w:ind w:firstLine="482"/>
        <w:jc w:val="left"/>
        <w:keepLines w:val="0"/>
        <w:keepNext w:val="0"/>
        <w:pageBreakBefore w:val="0"/>
        <w:spacing w:line="40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九、项目验收</w:t>
      </w:r>
      <w:r>
        <w:rPr>
          <w:rFonts w:hint="eastAsia" w:ascii="宋体" w:hAnsi="宋体" w:eastAsia="宋体" w:cs="宋体"/>
          <w:b/>
          <w:sz w:val="24"/>
          <w:szCs w:val="24"/>
          <w:lang w:val="en-US" w:eastAsia="zh-CN" w:bidi="ar-SA"/>
        </w:rPr>
      </w:r>
      <w:r/>
    </w:p>
    <w:p>
      <w:pPr>
        <w:pStyle w:val="663"/>
        <w:ind w:firstLine="480"/>
        <w:jc w:val="left"/>
        <w:keepLines w:val="0"/>
        <w:keepNext w:val="0"/>
        <w:pageBreakBefore w:val="0"/>
        <w:spacing w:line="400" w:lineRule="exact"/>
        <w:tabs>
          <w:tab w:val="left" w:pos="180" w:leader="none"/>
        </w:tabs>
        <w:rPr>
          <w:rFonts w:hint="eastAsia" w:ascii="宋体" w:hAnsi="宋体" w:cs="宋体"/>
          <w:color w:val="000000"/>
          <w:sz w:val="24"/>
          <w:lang w:val="en-US" w:eastAsia="zh-CN"/>
        </w:rPr>
      </w:pPr>
      <w:r>
        <w:rPr>
          <w:rFonts w:hint="eastAsia" w:ascii="宋体" w:hAnsi="宋体" w:cs="Times New Roman"/>
          <w:bCs/>
          <w:sz w:val="24"/>
          <w:lang w:val="en-US" w:eastAsia="zh-CN"/>
        </w:rPr>
        <w:t xml:space="preserve">项目完成后，卖方按规定提交验收申请，</w:t>
      </w:r>
      <w:r>
        <w:rPr>
          <w:rFonts w:hint="eastAsia" w:ascii="宋体" w:hAnsi="宋体" w:eastAsia="宋体" w:cs="Times New Roman"/>
          <w:bCs/>
          <w:sz w:val="24"/>
          <w:lang w:val="en-US" w:eastAsia="zh-CN"/>
        </w:rPr>
        <w:t xml:space="preserve">验收申请</w:t>
      </w:r>
      <w:r>
        <w:rPr>
          <w:rFonts w:hint="eastAsia" w:ascii="宋体" w:hAnsi="宋体" w:cs="Times New Roman"/>
          <w:bCs/>
          <w:sz w:val="24"/>
          <w:lang w:val="en-US" w:eastAsia="zh-CN"/>
        </w:rPr>
        <w:t xml:space="preserve">提交</w:t>
      </w:r>
      <w:r>
        <w:rPr>
          <w:rFonts w:hint="eastAsia" w:ascii="宋体" w:hAnsi="宋体" w:eastAsia="宋体" w:cs="Times New Roman"/>
          <w:bCs/>
          <w:sz w:val="24"/>
          <w:lang w:val="en-US" w:eastAsia="zh-CN"/>
        </w:rPr>
        <w:t xml:space="preserve">后5个工作日内</w:t>
      </w:r>
      <w:r>
        <w:rPr>
          <w:rFonts w:hint="eastAsia" w:ascii="宋体" w:hAnsi="宋体" w:eastAsia="宋体" w:cs="宋体"/>
          <w:bCs/>
          <w:sz w:val="24"/>
          <w:lang w:val="en-US" w:eastAsia="zh-CN"/>
        </w:rPr>
        <w:t xml:space="preserve">买方</w:t>
      </w:r>
      <w:r>
        <w:rPr>
          <w:rFonts w:hint="eastAsia" w:ascii="宋体" w:hAnsi="宋体" w:eastAsia="宋体" w:cs="宋体"/>
          <w:bCs/>
          <w:sz w:val="24"/>
        </w:rPr>
        <w:t xml:space="preserve">依法组织履约验收工作</w:t>
      </w:r>
      <w:r>
        <w:rPr>
          <w:rFonts w:hint="eastAsia" w:ascii="宋体" w:hAnsi="宋体" w:eastAsia="宋体" w:cs="Times New Roman"/>
          <w:bCs/>
          <w:sz w:val="24"/>
          <w:lang w:val="en-US" w:eastAsia="zh-CN"/>
        </w:rPr>
        <w:t xml:space="preserve">，</w:t>
      </w:r>
      <w:r>
        <w:rPr>
          <w:rFonts w:hint="eastAsia" w:ascii="宋体" w:hAnsi="宋体" w:cs="Times New Roman"/>
          <w:bCs/>
          <w:sz w:val="24"/>
          <w:lang w:val="en-US" w:eastAsia="zh-CN"/>
        </w:rPr>
        <w:t xml:space="preserve">验收合格后</w:t>
      </w:r>
      <w:r>
        <w:rPr>
          <w:rFonts w:hint="eastAsia" w:ascii="宋体" w:hAnsi="宋体" w:eastAsia="宋体" w:cs="Times New Roman"/>
          <w:bCs/>
          <w:sz w:val="24"/>
          <w:lang w:val="en-US" w:eastAsia="zh-CN"/>
        </w:rPr>
        <w:t xml:space="preserve">2个工作日内出</w:t>
      </w:r>
      <w:r>
        <w:rPr>
          <w:rFonts w:hint="eastAsia" w:ascii="宋体" w:hAnsi="宋体" w:cs="Times New Roman"/>
          <w:bCs/>
          <w:sz w:val="24"/>
          <w:lang w:val="en-US" w:eastAsia="zh-CN"/>
        </w:rPr>
        <w:t xml:space="preserve">具</w:t>
      </w:r>
      <w:r>
        <w:rPr>
          <w:rFonts w:hint="eastAsia" w:ascii="宋体" w:hAnsi="宋体" w:eastAsia="宋体" w:cs="Times New Roman"/>
          <w:bCs/>
          <w:sz w:val="24"/>
          <w:lang w:val="en-US" w:eastAsia="zh-CN"/>
        </w:rPr>
        <w:t xml:space="preserve">验收书</w:t>
      </w:r>
      <w:r>
        <w:rPr>
          <w:rFonts w:hint="eastAsia" w:ascii="宋体" w:hAnsi="宋体" w:cs="Times New Roman"/>
          <w:bCs/>
          <w:sz w:val="24"/>
          <w:lang w:val="en-US" w:eastAsia="zh-CN"/>
        </w:rPr>
        <w:t xml:space="preserve">。因货物质量问题导致的重复验收费用由供应商承担</w:t>
      </w:r>
      <w:r>
        <w:rPr>
          <w:rFonts w:hint="eastAsia" w:ascii="宋体" w:hAnsi="宋体" w:cs="宋体"/>
          <w:color w:val="000000"/>
          <w:sz w:val="24"/>
          <w:lang w:val="en-US"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、供货及知识产权</w:t>
      </w:r>
      <w:r>
        <w:rPr>
          <w:rFonts w:hint="eastAsia" w:ascii="宋体" w:hAnsi="宋体" w:cs="宋体"/>
          <w:b/>
          <w:bCs/>
          <w:sz w:val="24"/>
        </w:rPr>
      </w:r>
      <w:r/>
    </w:p>
    <w:p>
      <w:pPr>
        <w:pStyle w:val="663"/>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lang w:eastAsia="zh-CN"/>
        </w:rPr>
        <w:t xml:space="preserve">卖方</w:t>
      </w:r>
      <w:r>
        <w:rPr>
          <w:rFonts w:hint="eastAsia" w:ascii="宋体" w:hAnsi="宋体" w:cs="宋体"/>
          <w:bCs/>
          <w:sz w:val="24"/>
        </w:rPr>
        <w:t xml:space="preserve">应按</w:t>
      </w:r>
      <w:r>
        <w:rPr>
          <w:rFonts w:hint="eastAsia" w:ascii="宋体" w:hAnsi="宋体" w:cs="宋体"/>
          <w:bCs/>
          <w:sz w:val="24"/>
          <w:lang w:eastAsia="zh-CN"/>
        </w:rPr>
        <w:t xml:space="preserve">磋商</w:t>
      </w:r>
      <w:r>
        <w:rPr>
          <w:rFonts w:hint="eastAsia" w:ascii="宋体" w:hAnsi="宋体" w:cs="宋体"/>
          <w:bCs/>
          <w:sz w:val="24"/>
        </w:rPr>
        <w:t xml:space="preserve">文件规定及响应文件承诺的货物性能、技术要求、质量标准向</w:t>
      </w:r>
      <w:r>
        <w:rPr>
          <w:rFonts w:hint="eastAsia" w:ascii="宋体" w:hAnsi="宋体" w:cs="宋体"/>
          <w:bCs/>
          <w:sz w:val="24"/>
          <w:lang w:eastAsia="zh-CN"/>
        </w:rPr>
        <w:t xml:space="preserve">买方</w:t>
      </w:r>
      <w:r>
        <w:rPr>
          <w:rFonts w:hint="eastAsia" w:ascii="宋体" w:hAnsi="宋体" w:cs="宋体"/>
          <w:bCs/>
          <w:sz w:val="24"/>
        </w:rPr>
        <w:t xml:space="preserve">提供未经使用的全新产品。</w:t>
      </w:r>
      <w:r>
        <w:rPr>
          <w:rFonts w:hint="eastAsia" w:ascii="宋体" w:hAnsi="宋体" w:cs="宋体"/>
          <w:bCs/>
          <w:sz w:val="24"/>
          <w:lang w:eastAsia="zh-CN"/>
        </w:rPr>
        <w:t xml:space="preserve">卖方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rPr>
          <w:rFonts w:hint="eastAsia" w:ascii="宋体" w:hAnsi="宋体" w:eastAsia="宋体" w:cs="宋体"/>
          <w:b/>
          <w:bCs/>
          <w:sz w:val="24"/>
          <w:lang w:eastAsia="zh-CN"/>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rPr>
          <w:rFonts w:hint="eastAsia" w:ascii="宋体" w:hAnsi="宋体" w:eastAsia="宋体" w:cs="宋体"/>
          <w:bCs/>
          <w:sz w:val="24"/>
          <w:lang w:eastAsia="zh-CN"/>
        </w:rPr>
      </w:r>
      <w:r/>
    </w:p>
    <w:p>
      <w:pPr>
        <w:pStyle w:val="663"/>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rPr>
          <w:rFonts w:ascii="宋体" w:hAnsi="宋体"/>
          <w:szCs w:val="21"/>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rPr>
          <w:rFonts w:hint="eastAsia" w:ascii="宋体" w:hAnsi="宋体" w:eastAsia="宋体" w:cs="宋体"/>
          <w:bCs/>
          <w:sz w:val="24"/>
        </w:rPr>
      </w:r>
      <w:r/>
    </w:p>
    <w:p>
      <w:pPr>
        <w:pStyle w:val="663"/>
        <w:ind w:firstLine="482"/>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rPr>
          <w:rFonts w:hint="eastAsia" w:ascii="宋体" w:hAnsi="宋体" w:eastAsia="宋体"/>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rPr>
          <w:rFonts w:hint="eastAsia" w:ascii="宋体" w:hAnsi="宋体" w:eastAsia="宋体"/>
          <w:b w:val="0"/>
          <w:bCs w:val="0"/>
          <w:color w:val="000000"/>
          <w:sz w:val="24"/>
          <w:szCs w:val="24"/>
          <w:lang w:val="en-US" w:eastAsia="zh-CN"/>
        </w:rPr>
      </w:r>
      <w:r/>
    </w:p>
    <w:p>
      <w:pPr>
        <w:pStyle w:val="663"/>
        <w:ind w:firstLine="482"/>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rPr>
          <w:rFonts w:hint="eastAsia" w:ascii="宋体" w:hAnsi="宋体" w:eastAsia="宋体" w:cs="Times New Roman"/>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买方按磋商文件相关要求进行。如需委托第三方验收，验收费用由买方承担。因卖方交付的货物不符合标准导致买方重复支出的验收费用，由卖方承担。</w:t>
      </w:r>
      <w:r>
        <w:rPr>
          <w:rFonts w:hint="eastAsia"/>
          <w:lang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rPr>
          <w:rFonts w:hint="eastAsia"/>
        </w:rPr>
      </w:r>
      <w:r/>
    </w:p>
    <w:p>
      <w:pPr>
        <w:pStyle w:val="663"/>
        <w:ind w:firstLine="482"/>
        <w:jc w:val="left"/>
        <w:keepLines w:val="0"/>
        <w:keepNext w:val="0"/>
        <w:pageBreakBefore w:val="0"/>
        <w:spacing w:line="400" w:lineRule="exact"/>
        <w:widowControl/>
        <w:rPr>
          <w:rFonts w:hint="eastAsia" w:ascii="宋体" w:hAnsi="宋体" w:cs="宋体"/>
          <w:bCs/>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rPr>
          <w:rFonts w:hint="eastAsia" w:ascii="宋体" w:hAnsi="宋体" w:cs="宋体"/>
          <w:bCs/>
          <w:sz w:val="24"/>
        </w:rPr>
        <w:t xml:space="preserve">本合同由甲乙双方签字盖章后生效。</w:t>
      </w:r>
      <w:r>
        <w:rPr>
          <w:rFonts w:hint="eastAsia" w:ascii="宋体" w:hAnsi="宋体" w:cs="宋体"/>
          <w:bCs/>
          <w:sz w:val="24"/>
        </w:rPr>
      </w:r>
      <w:r/>
    </w:p>
    <w:p>
      <w:pPr>
        <w:pStyle w:val="663"/>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供 应 商：</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rPr>
          <w:rFonts w:hint="eastAsia" w:ascii="宋体" w:hAnsi="宋体" w:eastAsia="宋体" w:cs="宋体"/>
          <w:sz w:val="24"/>
        </w:rPr>
      </w:r>
      <w:r/>
    </w:p>
    <w:p>
      <w:pPr>
        <w:pStyle w:val="663"/>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63"/>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pStyle w:val="663"/>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71"/>
        <w:ind w:left="0" w:firstLine="0"/>
        <w:rPr>
          <w:rFonts w:hint="eastAsia" w:ascii="宋体" w:hAnsi="宋体" w:eastAsia="宋体" w:cs="宋体"/>
          <w:lang w:eastAsia="zh-CN"/>
        </w:rPr>
      </w:pPr>
      <w:r>
        <w:rPr>
          <w:rFonts w:hint="eastAsia" w:ascii="宋体" w:hAnsi="宋体" w:eastAsia="宋体" w:cs="宋体"/>
          <w:lang w:eastAsia="zh-CN"/>
        </w:rPr>
      </w:r>
      <w:r/>
    </w:p>
    <w:p>
      <w:pPr>
        <w:pStyle w:val="680"/>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Pr>
          <w:rFonts w:hint="eastAsia" w:ascii="宋体" w:hAnsi="宋体" w:eastAsia="宋体" w:cs="宋体"/>
          <w:b/>
          <w:bCs/>
          <w:sz w:val="30"/>
          <w:szCs w:val="30"/>
          <w:highlight w:val="none"/>
          <w:lang w:val="zh-CN"/>
        </w:rPr>
      </w:r>
      <w:r/>
    </w:p>
    <w:p>
      <w:pPr>
        <w:pStyle w:val="663"/>
        <w:numPr>
          <w:ilvl w:val="0"/>
          <w:numId w:val="2"/>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主设备技术参数</w:t>
      </w:r>
      <w:r>
        <w:rPr>
          <w:rFonts w:ascii="宋体" w:hAnsi="宋体" w:eastAsia="宋体" w:cs="宋体"/>
          <w:b/>
          <w:bCs/>
          <w:sz w:val="24"/>
          <w:szCs w:val="24"/>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采购包1</w:t>
      </w:r>
      <w:r>
        <w:rPr>
          <w:rFonts w:ascii="宋体" w:hAnsi="宋体" w:eastAsia="宋体" w:cs="宋体"/>
          <w:b/>
          <w:bCs/>
          <w:sz w:val="28"/>
          <w:szCs w:val="28"/>
          <w:lang w:val="en-US" w:eastAsia="zh-CN"/>
        </w:rPr>
      </w:r>
      <w:r/>
    </w:p>
    <w:tbl>
      <w:tblPr>
        <w:tblStyle w:val="694"/>
        <w:tblW w:w="99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587"/>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器材名称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主要技术要求</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消防头盔（半盔）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1.符合XF44-2015《消防头盔》标准要求。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2.为半盔式头盔，由帽壳、佩戴装置及附件（面罩、披肩）等构成，浅色透明面罩，粘贴最新式帽徽，颜色：黄色、红色。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▲3.冲击吸收性能：高温预处理，最大冲击力≤3100N；辐射热预处理，最大冲击力≤3100N；低温预处理，最大冲击力≤3300N；浸水预处理，最大冲击力≤3000N。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4.质量≤1.1kg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1.符合XF10-2014《消防员灭火防护服》标准要求。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▲2.整体服装采用三层式结构</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3.服装款式设计要求：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（1）上下分体式结构，整体协调，穿着舒适。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（2）肩、肘、膝部应采用耐磨层加厚处理，耐磨层应柔软且易于清洗。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（3）左臂上端外侧增加10cm*5cm魔术贴并覆盖布。上衣门襟魔术贴为贯通式。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（4）上衣左胸设置电台口袋，且不应与空气呼吸器背带相干涉；设置内插袋，下摆设置外贴袋；舒适层下摆增加5cm高度的对位芳纶基布涂层阻燃氯丁橡胶布制作的防水层。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（5）上衣和裤子之间的重叠部分应不小于200mm。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（6）上衣的衣领高度应不小于100mm，并有搭接或扣牢配件。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（7）裤子裆部采用一体式设计，配 H 型背带，脚口处采用圆弧形设计，脚口使用对位芳纶基布涂层阻燃氯丁橡胶布做防水处理。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（8）所有外口袋均设置漏水孔。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（9）防护服标识均采用最新标识。                                                                                             </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1.符合XF7-2004《消防手套》标准要求。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▲2.手套整体热防护性能：TPP≥29.5 cal/cm2。</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6-2004《消防员灭火防护靴》标准要求。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帮由外到内分为帮面、防切割层和隔热舒适层三层结构，靴底由上到下分为隔热舒适层、防穿刺层和靴大底三层结构，靴头部位设有保护包头，保护包头采用轻质航空铝材料制成，轻便、防砸，能够对消防员足前部进行有效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3.质量≤1.9kg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30734-2014《消防员照明灯具》标准要求。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▲2.外壳防护等级≥IP66，潜水深度≥5米，可持续时间≥1小时。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3.防爆标志≥EX ib IIC T4。</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应急逃生自救安全绳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每根长度≥16米</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3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消防腰斧</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630-2023《消防腰斧》标准要求。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（提供合格的型式检验报告）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1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消防安全腰带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eastAsia="宋体" w:cs="宋体"/>
                <w:i w:val="0"/>
                <w:iCs w:val="0"/>
                <w:color w:val="000000"/>
                <w:sz w:val="22"/>
                <w:szCs w:val="22"/>
                <w:highlight w:val="none"/>
                <w:u w:val="none"/>
                <w:lang w:val="en-US" w:eastAsia="zh-CN" w:bidi="ar"/>
              </w:rPr>
              <w:t xml:space="preserve">XF 494-2023</w:t>
            </w:r>
            <w:r>
              <w:rPr>
                <w:rFonts w:hint="eastAsia" w:ascii="宋体" w:hAnsi="宋体" w:eastAsia="宋体" w:cs="宋体"/>
                <w:i w:val="0"/>
                <w:iCs w:val="0"/>
                <w:color w:val="000000"/>
                <w:sz w:val="22"/>
                <w:szCs w:val="22"/>
                <w:highlight w:val="none"/>
                <w:u w:val="none"/>
                <w:lang w:val="en-US" w:eastAsia="zh-CN" w:bidi="ar"/>
              </w:rPr>
              <w:t xml:space="preserve">《消防用防坠落装备》标准要求。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2.由织带、环扣、2个D型环、双排插杆外带扣、带双排插孔的带尾等组成。</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消防员灭火防护头套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869-2010《消防员灭火防护头套》标准要求。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4"/>
              </w:numPr>
              <w:jc w:val="left"/>
              <w:keepLines w:val="0"/>
              <w:keepNext w:val="0"/>
              <w:pageBreakBefore w:val="0"/>
              <w:spacing w:line="360" w:lineRule="exact"/>
              <w:widowControl/>
              <w:tabs>
                <w:tab w:val="left" w:pos="312" w:leader="none"/>
              </w:tabs>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▲2.防护性能，冲击吸收性能：高温预处理，最大冲击力≤2330N；低温预处理，最大冲击力≤2480N；浸水预处理，最大冲击力≤2700N。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3.质量（不含附件）≤0.8kg</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消防员抢险救援防护服（夏季）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13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消防员抢险救援防护服（冬季）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消防员抢险救援靴</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2.质量≤1.3kg。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消防护目镜</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★符合XF1273-2015《消防员护目镜》标准要求。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消防员护膝护肘</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1.耐摩擦性能≥2000次。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2.抗冲击性能：≥护肘1219N，≥护膝1106N。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3.护膝耐穿刺性能≥340N；护肘耐穿刺性能≥320N。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消防过滤式自救呼吸器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★符合GB 21976.7-2012《过滤式消防自救呼吸器》标准要求。</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消防员隔热防护服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1.符合XF634-2015《消防员隔热防护服》标准。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2.火焰和辐射热防护性能（TPP）≥34.5cal/c㎡。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消防员避火防护服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符合XF634-2015《消防员隔热防护服》标准。</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化学防护手套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1.化学防护性能：30%氢氧化钠、乙腈、甲醇等耐压穿透性＞35kPa；96%硫酸，30%氢氧化钠等化学品渗透时间＞480min。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2.耐热老化性能：经过125℃预处理24h后，表面不粘、不脆、不龟裂。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3.耐寒性能：经过-25℃预处理 5min，折叠 180°后，无表面破坏性裂痕。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4.手套抗刺穿力≥45N。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消防员降温背心</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1.利用水分蒸发吸热带走身体表面热量达到降温效果，无需冰袋，无需冰箱冷冻，无需电源。</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2.降温背心不含甲醛，不含可分解致癌芳香胺染料。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3.将马甲浸泡在清水中3-5分钟，拧干后擦掉内层多余水分即可穿用。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4.单次降温时间≥2小时，可重复使用。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5.质量≤0.7kg。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消防全身式安全吊带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 494-2023《消防用防坠落装备》标准。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消防员防蜂服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 3008-2020《消防员防蜂服》标准。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消防轻型安全绳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★1.符合国家XF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2.直径9.5mm，长度不小于20米。</w:t>
            </w:r>
            <w:r>
              <w:rPr>
                <w:rFonts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消防通用安全绳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★1.符合国家XF 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2.直径16mm，长度不小于50米。</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消防防坠落辅助部件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2.主要参数：</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（1）全身安全带：全身共有5 个加强D形承重挂点，承重≥22KN。设置可调节腰带，腿环，腰围≤115cm，腿围≤81cm，适应身高165-185cm，重量约1800g。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（2）O型钩：材质铝合金，二段自动式锁，开口尺寸20mm，拉力≥25kN，重量≤81g。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（3）胸式上升器：适用绳径8-13mm。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（4）手式上升器（左右手可选）：材质铝合金+橡胶，适用绳径8-13mm。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（5）脚踏带：材质尼龙织带+不锈钢，可调：80-115cm。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（6）脚式上升器（左右脚可选）：材质铝合金，适合绳索直径8-13mm，重量：≤148g，工作负荷：≥4KN。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（7）手控下降器：适合绳索直径9-12mm。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（8）8字环：材质铝合金，拉力≥35kN，破断强度≥45kN。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（9）单滑轮：材质铝合金，适合绳索直径≤13mm。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（10）双滑轮：材质铝合金，适合绳索直径8-13mm；拉力≥25KN。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（11）环形扁带：尼龙材质，长度60cm和120cm各1条；拉力≥23KN。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（12）10.5mm静力绳：绳长30米，安全绳最小破断强度≥25kN。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（13）护绳套：800D材质PVC夹网布制作，长度50cm，展开宽度14cm，保护绳索防止其磨损。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（14）全身安全带、O型钩、胸式上升器、手式上升器、脚踏带、脚式上升器、手控下降器、8字环、单滑轮、双滑轮、防坠器、10.5mm静力绳、符合 XF494-2004/2023《消防员防坠落装备》标准。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（15）缓冲包符合GB/T24538-2009《坠落防护 缓冲器》。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（16）环形扁带符合JB/T 8521.1-2007《编织吊索安全性第1部分：一般用途合成纤维扁平吊装带》，破断力不小于23.3kN。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（17）护绳套符合GB/T21196.2-2007《纺织品 马丁代尔法织物耐磨性的测定 第2部分：试样破损的测定》。</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手提式强光照明灯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1.符合GB30734-2014《消防员照明灯具》标准要求。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▲2.提供防爆合格证，防爆等级：≥EX db ia IIC T6 Gb。</w:t>
            </w:r>
            <w:r>
              <w:rPr>
                <w:rFonts w:hint="eastAsia" w:ascii="宋体" w:hAnsi="宋体" w:eastAsia="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1.结构组成：金属框架、高分子材料表面质材组成。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2.质量≤9.5 kg。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3.承载≥120kg。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4.应有2个滚轮，2根保险带。</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1.采用高质量尼龙板制成，可以弯曲变形，可水平或者垂直吊运。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2.展开尺寸≥250×80cm。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3.质量≤9kg。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4.最大承重≥120kg。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numPr>
                <w:ilvl w:val="0"/>
                <w:numId w:val="0"/>
              </w:numPr>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救生抛投器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1.符合GB/T 27906-2011《救生抛投器》标准要求。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2.抛射距离：水用≥120米，陆地≥180米。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激光测距仪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1.具备普通测距、水平距离、直线距离、垂直距离、两点测高、三点测高、空间任意两点跨距测量、面积体积测量、旗杆模式、温度检测、速度测量。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2.测距显示：内置LCD显示+外置OLED触摸彩屏显示。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▲3.测量量程≥2000m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4.测量误差≤±0.2m（≤200m）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5.倾角范围≥-90°～90°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▲6.当前环境温度检测范围：-45℃~+130℃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▲7.具有北斗定位功能，能实时显示当前位置的经纬度数据。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8.放大倍率≥8倍</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9.具有震动提醒和数据存储功能。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10.内置≥800mA 充电系统量；测量次数≥10000次。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测温仪</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▲1.测量范围：-50～1100℃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▲2.测量精度：±1.5%或±1.5℃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3.测量物距比：12:1</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4.响应时间：≤500ms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5.具有高温/低温报警功能。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6.具有数据锁定和数据存储功能。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▲7.电池连续工作时间≥12h。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漏电探测仪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1.手持式，探测仪长度不低于50cm，保证使用者的安全。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2.探测电压：120V/60Hz 或 220V/50Hz；7.2Kv/50Hz 或 15kV/50Hz。 </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3.自检功能≤3S。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4.灵敏度：具有高敏度、低敏度、前端（定位）等3档可调节。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▲5.LED手电筒：内置≥3W 照明灯，水平亮度≥1m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6.警示功能：内置≥16颗红色LED警示灯，红灯闪烁具有警示和指挥功能。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7.电子口哨：具有尖锐的电子口哨声音和警示灯爆闪的功能。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▲8.S0S功能：开启S0S模式时，探测仪白光灯闪烁、警示灯爆闪和蜂鸣器发出“三长三短”强烈的求救信号。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9.破窗功能：内置机械钨钢尖头破窗器。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10.连续工作时间≥200h；内置可充电锂电池，电池容量≥3200mAh，配置铝箱。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有毒气体探测仪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1.具备泵吸采样功能，具有自动校准与自动归零功能，具备听觉/视觉/振动警报，可检测4种有毒有害和可燃等气体浓度；用于化工、应急救援和消防救援等行业检测。</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2.气体种类：可燃气LEL；氧气O</w:t>
            </w:r>
            <w:r>
              <w:rPr>
                <w:rFonts w:hint="eastAsia" w:ascii="宋体" w:hAnsi="宋体" w:eastAsia="宋体" w:cs="宋体"/>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；一氧化碳CO；硫化氢</w:t>
            </w:r>
            <w:r>
              <w:rPr>
                <w:rFonts w:hint="eastAsia" w:ascii="宋体" w:hAnsi="宋体" w:eastAsia="宋体" w:cs="宋体"/>
                <w:i w:val="0"/>
                <w:iCs w:val="0"/>
                <w:color w:val="000000"/>
                <w:sz w:val="22"/>
                <w:szCs w:val="22"/>
                <w:highlight w:val="none"/>
                <w:u w:val="none"/>
                <w:lang w:val="en-US" w:eastAsia="zh-CN" w:bidi="ar"/>
              </w:rPr>
              <w:t xml:space="preserve">H₂S。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3.气体量程：LEL:0-100%LEL；O2:0-30%VOL；CO:0-500PPM；H2S:0-100ppm。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▲4.气体精度：≤3%FS；响应时间：≤20秒（T90）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5.高清彩色屏：≥2.3英寸；可查看历史数据、实时曲线图。</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6.仪器支持背光自动休眠，休眠时长可设置。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▲7.检测方式：内置采集泵，泵吸采样方式；支持定时检测，支持单独关闭采样。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8.警报方式：听觉、视觉和振动三种方式。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9.报警模式设置：低限报警、高限报警、区间报警、加权平均值报警等设置。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10.存储容量：≥2万组数据存储；支持实时存储、定时存储，或只存报警浓度数据。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11.防护等级：≥IP65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12.单电池使用时间：≥10小时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13.工作温度≥-20℃-50℃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14.配置防水、防尘和防摔防护箱。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可燃气体检测仪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1.便携式可燃气体检测仪，用于检测事故现场易燃易爆气体,可检测易燃易爆气体的体积浓度。</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3.气体量程：EX:0-100%LEL。</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4.报警方式：视觉、振动、声音（95dB）</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5.低限、高限、STEL、TWA、OL（超限）、电量不足、视听警报在传感。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6.器故障时、电池电量不足时和电路故障时（不间断）发出警报。</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7.防爆等级：≥ EX ia IIC T4 Ga</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8.防护等级：≥IP68</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9.工作温度：≥-20～+50°C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10.工作时间：≥15h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11.尺寸：≤11.3 * 6.0 * 3.2 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12.重量：≤200g</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中压分水器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2.采用锻造工艺，进水口径：80mm；出水口径：3个65mm。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2、采用锻造工艺，进水口径：80mm；出水口径：2个65mm。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三</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2.采用锻造工艺，进水口径：65mm；出水口径：3个40mm。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二</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2.采用锻造工艺，进水口径：65mm；出水口径：2个40mm。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39</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异型异径接口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2.采用锻造工艺，卡式接口80mm转65mm雌。</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2.采用锻造工艺，卡式接口65mm转40mm雄。</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消防员湿式水域救援防护服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1.主体颜色为橙色，加固部位为黑色，整体采用分体式设计,穿脱方便。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2.不低于3mm的氯丁橡胶材质可以在寒冷的温度中提供良好的热反射性能。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3.前置拉链可以使救援者穿、脱装备都迅速、便捷。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4.在腿部臀部都有加固材料垫，可以提供额外的保护。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5.手臂、腿部设有反光条，提高了救援者的警示性。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6.大腿两侧有口袋，可放置随身物品。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7.色牢度：耐水摩擦≥4级；耐洗沾色：≥4级；耐光色牢度：≥4级。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8.耐静水压：≥100kPa。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9.抗永久变形：经向：≥4.0% 纬向：≥4.0%。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10.质量：≤1.45kg。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消防员干式水域救援防护服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1.采用3层防水透气复合尼龙布,完全符合人体工学，穿着行动自由，不影响穿脱。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体颜色为红色，加固部位为黑色，颜色显目，更利于救援；有门襟设计，防水拉链闭合，如厕时不用脱下整件衣服。集成式腰部束紧设计，左右两侧可调节舒适度；增加可拆卸可调节Y型背带。一体式袜套，防水，保暖，含有连体脚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3.大腿部两侧增加有排水孔工具袋，盛放必要救援物品的口袋，且有排水功能。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4.高亮反光带，两手臂都有反光条，膝盖和臀部位置耐磨采用加厚层。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5.前斜拉链为气密防水拉链，外设挡水护盖，保证完美的气密性，方便快速穿脱，满足单人穿脱要求。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6.领口、袖口使用乳胶材质，保证气密性和增强舒适度。 橡胶颈部和腕关节弹性伸缩袖口、领口。</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7.面料：表面抗湿性能沾水等级：≥4级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8.断裂强力：经向：≥890N，纬向：≥860N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9.撕破强力：经向：≥120N，纬向：≥120N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10.耐静水压：≥75kPa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11.接缝断裂强力：≥780N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12.整体防渗漏性能：经过抗渗漏试验后，进入防护服内水的质量：≤200g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13.质量：≤2.4kg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1.由靴头、靴外底、靴跟、靴底和带舒适层的靴帮等组成；内有弹性潜水材料内胆，为足部提供良好的保暖性和踝部支撑。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2.靴子整体为系带式设计，鞋跟处凸起设计，方便与脚蹼搭配使用。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3.主体颜色采用黑色。从靴内后跟中央起至靴口最低处的高度为200mm。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4.鞋帮抗张强度：横向≥15N/mm2  纵向≥15N/mm2。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5.鞋帮撕裂强度：≥170 N/mm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6.外底断裂拉伸强度：≥17MPa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7.外底拉断伸长率：≥475%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8.外底相对体积磨耗量：≥140mm3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9.靴帮抗切割性能：不应被割穿。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10.靴帮抗刺穿性能：最大抗刺穿≥75N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11.靴底抗刺穿性能：抗刺穿力≥1200N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12.外底耐弯折性能：断裂长度≤9mm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13.防滑性能：始滑角≥14°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14.质量：≤1.4kg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1.低重心无帽沿设计，贴合头部，顶端有≥6个透气孔。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2.头盔两侧一体式护耳部件。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3.ABS工程塑料注塑成型盔壳，高密度EVA缓冲垫。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4.头箍设有EVA衬垫，魔术贴固位。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5.快调式帽衬设计，带Go Pro NVG墨鱼干支架底座，侧面双导轨，可配救援头灯和水下照相机。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6.冲击吸收性能：冲击力的最大值≥3500N。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7.顶部抗冲击加速度性能：最大加速度：≥145g。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8.耐穿透性能：钢锥未穿透头盔与头模产生接触。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9.漂浮性能：经24小时的漂浮性能试验，头盔始终漂浮在水面上，不沉入水中。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10.质量：≤550g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1.为五指分离式设计，掌心和手指部位敷有用于增强外层耐磨性的材料。手套袖筒长度超出腕骨≥65mm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2.消防员水域救援防护手套与水域救援服袖口配合穿戴，手套口有收紧设计，能限制杂物进入手套内。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3.抗切割性能：掌心面材料≥5N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4.撕破强力：掌心面材料≥62N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5.抗刺穿性能：掌心面刺穿力≥62N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6.灵巧性能：徒手控制百分≤200%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7.抓握性能：拉重力比≥88.0%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8.穿戴性能：穿戴时间≤8s</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激流救生衣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1.面料采用方形针织压力点和不低于1680D材质的尼龙面料。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2.采用背心式设计，胸襟采用塑钢开口拉链，后领口增加手提式松紧提拉带设计，方便携带。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3.环绕胸部设置一条多功能腰带，前胸是设置PFD自救装置，后背部设有牵引绳连接拉环。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4.活饵快卸系统：环绕胸部腰带一条，宽约5cm的尼龙织带，使用一组不锈钢日型环及塑钢固定，拉环上配置一根快速牵引绳，可以固定于肩部，不影响救援动作。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5.正面配置2个大容量排水网布构成的置物袋（可拆卸式设计），肩部配置一个对讲机口袋（可拆卸式设计），后背同时也增加一个大容量置物袋（可拆卸式设计）。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6.多个前置挂点的设计方便使用者在使用和固定刀、口哨时都方便快捷。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7.前后面缝制≥5条反光条，下摆部带有连接点，用于连接腿带固定带，以防水流水浪将救生衣冲脱。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8.浮力≥150N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9.浮力损失：救生衣在淡水中浸泡24h后，其浮力损失为≤3.5%</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消防员水域救援绳刀</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1.刀身为金属材料制造，并采用直形刀体、弧形刀刃和锯齿状刀背的结构，刀头为平头且不开刃，救援刀有刀鞘，刀柄有防滑设计。双面按压式开关，双手按下，刀会自动弹出到手上。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2.刀鞘采用双面安全开关机制，单独按一面不会弹出，确保救援刀不会滑落。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3.手柄处带有小长方形孔洞可作为压缩气瓶的扳手。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4.手柄处椭圆形孔洞可以作为开瓶器使用。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5.整刀长度：≥195mm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6.刀柄长度：≤120mm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7.质量：救援刀≤100g，救援刀连同刀鞘≤170g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8.刀体抗弯性能：刀体悬挂60kg重物，保持30min，不应发生断裂或变形。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9.硬度：≥53HRC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207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牛尾绳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1.不低于30mm宽管状尼龙织带。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2.带有不锈钢 O 型环和安全钩，挂接方便快速。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3.牵引绳两端加厚塑胶塑封，良好的耐候性，牢固且耐摩擦。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4.规格：静态长度≥70cm、伸展后长度≥100cm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5.快速连接锁扣：表面编有反光丝方便黑暗条件下反光，颜色：黑色。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1.亮度：≥300流明。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2.具备近光和频闪切换功能。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3.具备亮度调节功能。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4.具备红灯警示功能。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5.头灯重量：≤150g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6.发光时间：≥10h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7.射距离：≥10m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5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示位灯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1.外观新颖，结构简单，操作简便。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2.触水自动点亮设计，触水铜柱镀金处理，穿着救生衣服的跳入水中后自动点亮衣灯，不需要预先打开救生衣灯。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3.LED灯泡，节能、高效、寿命长。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4.外壳高频焊接，美观牢固不渗水。</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水域救援抛绳包</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1.采用高强度面料，底部有泄水孔排水措施，设有携带的提手。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2.绳索结构：为包芯绳结构，主承重部分由连续纤维制成。绳索表面无任何机械损伤现象，整绳粗细均匀、结构一致。绳皮编入2股贯穿全绳的蓄光发光纤维及1股反光条。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3.直径：≤8mm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4.长度：≥20m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5.延伸率：≤5.5%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6.破断强度：≥22.5kN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7.线密度：≤40g/m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中队级双光无人机</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飞行器：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1.裸机重量（带普通桨叶）：≤1500g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2.最大起飞重量（常规桨叶）：≥1000g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3.折叠尺寸：≤长300mm，宽400mm，高200mm。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4.最大载重：≥1430g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5.对角线轴距：≤550mm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6.最大上升速度：≥10m/s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7.最大下降速度：≥6m/s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8.最大水平飞行速度（海平面附近无风）：≥20m/s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9.最大起飞海拔高度：≥5500m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10.飞行器自带夜航灯。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1.广角相机像素：≥1/1.3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2.中长焦相机像素：≥1/1.3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3.长焦相机像素：≥1/1.5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4.最小拍照间隔：≤1秒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5.热成像传感器类型：非制冷氧化钒（VO*）；</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6.热成像相机分辨率：≥640×512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云台、感知：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1.云台稳定系统：三轴机械云台（俯仰、横滚、平移。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2.云台可控转动范围：俯仰≥-90°～ 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3.感知系统类型：全向双目视觉系统，辅以机身底部三维红外传感器。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图传：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1.最大信号有效距离（无干扰、无遮挡）：FCC≥25公里。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2.最大信号有效距离（有干扰）：强干扰：都市中心≥1.5公里；中干扰：近郊县城≥5公里；微干扰：远郊/海边≥15公里。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遥控器：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1.遥控器屏幕分辨率：≥1920×1200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2.遥控器屏幕尺寸：≥7英寸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3.遥控器内置电池续航时间：≥3.5小时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4.遥控器工作环境温度：-20℃～50℃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5.遥控器重量（不含外置电池）：≤1.5kg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套装内需要包含1台无人机，1块电池，1台遥控器，1个充电管家，1个安全箱，原厂1年机身保险，1年100万第三者责任险。</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自保多功能水枪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8181-2005《消防水枪》标准要求。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▲2.流量：直流≥9.5L/S，最大喷雾角时≥9.5L/S</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3.可单独使用直流或喷雾状态，也可使用直流/喷雾组合状态，灭火的同时又可自保。</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液压开门器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1.设备体积小、重量轻、携带方便；开启力大、开启能力强。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2.额定工作压力≥60Mpa；最大开启力≥80KN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3.闭合长度：≤300mm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4.开启距离：≥70mm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5.质量：≤8kg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舷外机</w:t>
            </w:r>
            <w:r>
              <w:rPr>
                <w:rFonts w:hint="eastAsia" w:ascii="宋体" w:hAnsi="宋体" w:eastAsia="宋体" w:cs="宋体"/>
                <w:i w:val="0"/>
                <w:iCs w:val="0"/>
                <w:color w:val="000000"/>
                <w:sz w:val="22"/>
                <w:szCs w:val="22"/>
                <w:highlight w:val="none"/>
                <w:u w:val="none"/>
                <w:lang w:val="en-US" w:eastAsia="zh-CN" w:bidi="ar"/>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1.功率：≥28kW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2.发动机缸数：≥2个。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3.重量：≤80kg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4.排量：≥650cc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5.油箱容积：≥24L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6.发动机浆叶为304不锈钢材质（或更优），浆叶片数量≥3片。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7.启动系统：手动或电启动器。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8.控制：手柄控制。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9.倾斜系统：手动倾斜。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10.润滑系统：预混汽油和机油。</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舟艇</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1.外长≥430cm，外宽≥190cm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▲2.气囊数≥4个，辅助D型扣数量9个，船首拖拽装置1套，尾板高度400mm，最大载荷900kg。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3.艇底结构：船底深V型设计，水阻小。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4.艇身材质：≥0.9mmPVC复合加网材质</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5.底板材质：铝合金拼装底板</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▲6.耐压性：满载状态时，船艇各气囊加压至1.15倍额定压力后静置30min，无异样。</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▲7.气密性：额定压力为0.025Mpa，空载状态下浮筒静置60min后剩余压力为0.025Mpa；额定压力为0.035Mpa，空载状态下充气底板静置60min后剩余压力为0.035Mpa。</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▲8.安全及性能要求：静态稳性满载10人当所有人移至船体一舷时，倾斜角度≤10°，满载排水量≥978kg， 配30马力船外机最大航速空载≥46km/h,载重400kg时航速≥ 38km/h。</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9.回转直径：载重75kg，航速11km/h时，左转≤3.0m，右转≤3.8m。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10.充气时间：采用额定压力30Mpa气瓶充气时间≤130S</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▲11.依据SL297-2004对橡胶涂覆织物物理性能检测：经向拉伸强度≥90kN/m，纬向拉伸强度≥71kN/m、经向梯形撕裂强度≥420N。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12.安全性：依据GB/T26572-2011、GB8410-2006 对四种限用物质铅、镉、汞、六价铬及邻苯二甲酸酯均不应检出。</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13.为防止橡皮艇污染水体，依据GB6675.4-2014对下列八大重金属材质：可溶性铅、可溶性锑、可溶性砷、可溶性钡、可溶性镉、可溶性铬、可溶性汞、可溶性硒，均不应检出。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14.耐磨性：依据GB/T19089-2012、GB/T19089-2012检测，在12kPa压力下，PVC材料的耐磨性≥1000次摩擦后无变化，抗刺穿性≥166N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15.可配备2冲程30马力短轴船外机。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16.产品经过中国船级社（CCS）检验。</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机动链锯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1.适用于切割木头、石膏板等。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2.发动机排量：≥50 CC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3.功率：≥2.4 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二级化学防护服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eastAsia="宋体" w:cs="宋体"/>
                <w:i w:val="0"/>
                <w:iCs w:val="0"/>
                <w:color w:val="000000"/>
                <w:sz w:val="22"/>
                <w:szCs w:val="22"/>
                <w:highlight w:val="none"/>
                <w:u w:val="none"/>
                <w:lang w:val="en-US" w:eastAsia="zh-CN" w:bidi="ar"/>
              </w:rPr>
              <w:t xml:space="preserve">XF </w:t>
            </w:r>
            <w:r>
              <w:rPr>
                <w:rFonts w:hint="eastAsia" w:ascii="宋体" w:hAnsi="宋体" w:eastAsia="宋体" w:cs="宋体"/>
                <w:i w:val="0"/>
                <w:iCs w:val="0"/>
                <w:color w:val="000000"/>
                <w:sz w:val="22"/>
                <w:szCs w:val="22"/>
                <w:highlight w:val="none"/>
                <w:u w:val="none"/>
                <w:lang w:val="en-US" w:eastAsia="zh-CN" w:bidi="ar"/>
              </w:rPr>
              <w:t xml:space="preserve">770-2008《消防员化学防护服装》标准要求。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救生照明线</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26783-2011《消防救生照明线》标准要求。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2.线体长度≥100m。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▲3.线体能承受拉力≥300N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4.质量≤6kg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止坠器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1.锁止机构挤压式制动模式抓绳器，用于自动制动与防坠落保护。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2.材质：侧板铝合金；棘齿不锈钢。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3.侧板厚度：≥3mm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4.适用绳径8-13mm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6.尺寸：≤100*70*25mm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7.重量：≤200g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安全钩</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2.尺⼨：≤110×60×20mm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4.纵向断裂强度：≥22kN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5.横向断裂强度：≥7kN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6.开口拉力：≥7kN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7.开⼝尺⼨：≥19mm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短连接</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1.短连接，多用于攀岩中固定保护点（如挂片、岩钉）连接、登山、消防救援与高海拔作业中的安全带与固定锚点连接等。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2.材质：铝合金、涤纶。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3.开口距离：≥21±1mm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7.扁带长度：≥12cm，宽度：≥20mm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8.重量：≤190g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1.材料：尼龙和聚酯纤维。</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2.长度≥50米；直径≥10.5毫米。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3.断裂强度≥22KN，8字结强度≥12KN，冲击力（系数0.3）：≥4KN，冲坠次数≥10次，静力延展率≥2.5%，绳皮占有率：≥40%，线轴数≥20，重量≤95克/米。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1.具有优秀的耐磨耐冲击性能，外皮经过热处理手感更加舒适。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2.长度≥50米；直径≥11mm。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3.冲击力≥7.7kN；坠落次数≥16；动态延展率≥35%；静态延展率≥9.5%；表皮滑动率≥0mm；线轴数≥48；重量≤90克/米。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IDS下降器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1.手柄应为非金属材质，可自动回弹，通过手柄的不同位置可以实现下降、存储、锁止等功能。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2.带有防慌乱功能。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3.带有防倒装锁定齿，在绳索倒装时可以将绳索卡住避免跌落。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4.具备至少两个摩擦位置，至少包含1个钢制V形摩擦槽和1个侧板的钢制摩擦唇。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5.侧板可在连接状态下打开，也可通过自带螺丝锁定。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6.应有预留接口，可后续根据需要加装一个辅助摩擦块。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7.应可在倾斜或水平面进行顺畅移动。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8.应也可通过按压凸轮送绳。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9.兼容绳索直径范围应达到：10-11.5mm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10.单人最大工作负荷≥150kg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11.双人最大工作负荷（救援）≥250kg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12.重量≤600g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13.应能承受1.5倍的最大载荷3min，在锁止状态下的滑移不应大于125mm，卸载后应能正常解锁。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高空手套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山羊皮面料柔软舒适、有弹性。手掌高磨损部位采用耐磨层提高耐用性。背面活动区域使用耐磨弹性材料具有很高的舒适性与透气性。手套腕部设有魔术贴搭扣，粘贴牢固，并可以自行调整松紧，手腕设置圆孔方便与安全钩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2.尺码：S、M、L码可选。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墙角保护器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1.用于保护绳索，避免建筑物的棱角、墙角、岩石等粗糙尖锐凸起部分磨损绳索。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2.共有四组梯架，六个椭圆快速连接器连接，可根据绳索经过的地形变化组合，将绳索架离锋利的切割面。多个连接孔可用不同方式连接。允许多模块连接以适应不同作业情况的现场。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5.材质：7075铝合金、304不锈钢。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6.尺寸：≤50×18×5.8cm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7.连接孔径：约16mm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可调牛尾</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调式行进双挽索，动力绳可吸收冲击力，可以在各种行进方式下提供连接保护（绳索上升、生命线移动等）。一端含有调节器，可以很容易地调节挽索长度。锁扣的位置是固定的，方便钩挂，配合安全带使用，用于稳定锚点、短距离作业，主要用于防坠落保护、高空定位及救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2.材质：绳索尼龙；调节扣7075铝合金。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5.长度：固定端≥65cm，调节端≥95cm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绳索保护垫</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1.绳索垫布，救援时，铺垫于地⾯，有效保护装备与地⾯的直接摩擦。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2.不低于1680D的牛津布加密面料车缝结构坚固耐磨，充分保护。6个镀锌钢≥16mm孔径气眼，可直接挂主锁固定，实现快速多个垫拼接；保护面积大，适合不规则的环境使用。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3.尺寸：≥140*80cm；厚度≥2mm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4.重量：≤1200g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5.连接孔：≥16mm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绳索保护器滑轮组</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2.用于保护绳索，避免建筑物的棱角、墙角、岩石等粗糙尖锐凸起部分预防磨损绳索。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3.链条式设计（可多联），4角设置有系辅绳固定用挂点。收纳体积小，展开保护面积大，可组合不同长度，围柱，直角，斜坡等环境均适合使用。</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警戒带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1.用于消防灭火救援、灾害事故现场警戒。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2.具有反光功能，材质抗拉伸。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3.每盘宽度≥5cm，长度≥50米。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锥型事故标志柱</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1.用于灾害事故现场道路警戒。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2.具有防晒,耐热,耐寒不变色等优点；材质牢固，外敷高强级标准反光材料，红白相间,颜色醒目。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3.纯橡胶制品，耐撞击、碾压、耐水、灰尘，能迅速回弹，不伤车伤人。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4.高度≥70cm。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危险警示牌</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1.灾害事故现场警戒警示。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2.金属材料制作，规格分三角形状，边长≥400mm，表面红、黄反光漆。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3.分为有毒、易燃、泄漏、爆炸、危险等五种标志。</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★1.对讲机应具有中华人民共和国工业和信息化部颁发的《无线电发射设备型号核准证》</w:t>
            </w:r>
            <w:r>
              <w:rPr>
                <w:rFonts w:hint="eastAsia" w:ascii="宋体" w:hAnsi="宋体" w:eastAsia="宋体" w:cs="宋体"/>
                <w:b/>
                <w:bCs/>
                <w:i w:val="0"/>
                <w:iCs w:val="0"/>
                <w:color w:val="000000"/>
                <w:sz w:val="22"/>
                <w:szCs w:val="22"/>
                <w:highlight w:val="none"/>
                <w:u w:val="none"/>
                <w:lang w:val="en-US" w:eastAsia="zh-CN" w:bidi="ar"/>
              </w:rPr>
              <w:t xml:space="preserve">（提供有效的证书）</w:t>
            </w:r>
            <w:r>
              <w:rPr>
                <w:rFonts w:hint="eastAsia" w:ascii="宋体" w:hAnsi="宋体" w:eastAsia="宋体" w:cs="宋体"/>
                <w:b/>
                <w:bCs/>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2.支持接入语音自组网基站。</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3.频率范围：350-400MHz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▲5.具备按照消防三级组网要求预设频率、一键选频功能。</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5"/>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具备一键报警撤离功能，对讲机可配置1个一键撤离按键，紧急情况下通过在对讲机按报警键，可一键发送紧急撤离指令。</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7.对讲机须支持全程录音、录音文件导出功能。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8.显示屏：≥2.0英寸彩色半反半透显示屏，便于在强光、弱光下清晰可见。</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9.键盘按键尺寸≥10mm×8mm（L×H）</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10.电池：按百分比显示剩余电池电量；工作时间：≥12小时。</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11.内置蓝牙模块。</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▲12.内置单北斗模块。</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▲13.防护等级：≥IP68</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14.须支持PDT集群、PDT常规、模拟MPT1327集群、模拟常规四种工作模式。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15.防湿、冲击和振动符合中国军标GJB 150.9A-2009标准。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16.内置NFC功能。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17.外壳材料：防火级别至少为V-0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▲18、防爆等级：不低于EX ibⅡB T4 Gb；EX ib ⅢB T135℃ Db</w:t>
            </w:r>
            <w:r>
              <w:rPr>
                <w:rFonts w:hint="eastAsia" w:ascii="宋体" w:hAnsi="宋体" w:eastAsia="宋体" w:cs="宋体"/>
                <w:b/>
                <w:bCs/>
                <w:i w:val="0"/>
                <w:iCs w:val="0"/>
                <w:color w:val="000000"/>
                <w:sz w:val="22"/>
                <w:szCs w:val="22"/>
                <w:highlight w:val="none"/>
                <w:u w:val="none"/>
                <w:lang w:val="en-US" w:eastAsia="zh-CN" w:bidi="ar"/>
              </w:rPr>
              <w:t xml:space="preserve">（提供防爆证书）</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▲19.支持高级降噪技术，噪声抑制能力不小于25dB。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接收部分：</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1.数字接收灵敏度：≤-118dBm@BER5%</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2.邻道选择性：≥60dB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3.互调：≥65dB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4.杂散响应抑制：≥70dB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5.阻塞：≥84dB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6.共信道抑制检验：≥-12dB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发射部分：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2.4FSK调制频偏误差检验：≤10%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3.4FSK发射误码率检验：≤1*10-4 </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4.占用带宽：≤8.5kHz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5.频率误差检验：≤1.5*10-6 </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快速攻击炮</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19156-2019《消防炮》标准要求。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▲2.流量三档调节：20L/S，30L/S，40L/S；射程≥66米。</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3.重量≤11公斤。</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无齿锯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32460-2015《消防应急救援装备 破拆机具通用技术条件》标准要求。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2.功率≥5.5kW。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663"/>
        <w:keepLines w:val="0"/>
        <w:keepNext w:val="0"/>
        <w:pageBreakBefore w:val="0"/>
        <w:spacing w:before="157" w:after="157" w:line="3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采购包2</w:t>
      </w:r>
      <w:r>
        <w:rPr>
          <w:rFonts w:ascii="宋体" w:hAnsi="宋体" w:eastAsia="宋体" w:cs="宋体"/>
          <w:b/>
          <w:bCs/>
          <w:sz w:val="28"/>
          <w:szCs w:val="28"/>
          <w:lang w:val="en-US" w:eastAsia="zh-CN"/>
        </w:rPr>
      </w:r>
      <w:r/>
    </w:p>
    <w:tbl>
      <w:tblPr>
        <w:tblStyle w:val="694"/>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25"/>
        <w:gridCol w:w="5383"/>
        <w:gridCol w:w="864"/>
        <w:gridCol w:w="864"/>
        <w:gridCol w:w="864"/>
      </w:tblGrid>
      <w:tr>
        <w:trPr>
          <w:trHeight w:val="575"/>
          <w:tblHeade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112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器材名称</w:t>
            </w:r>
            <w:r>
              <w:rPr>
                <w:rFonts w:hint="eastAsia" w:ascii="宋体" w:hAnsi="宋体" w:eastAsia="宋体" w:cs="宋体"/>
                <w:b/>
                <w:bCs/>
                <w:i w:val="0"/>
                <w:iCs w:val="0"/>
                <w:color w:val="000000"/>
                <w:sz w:val="21"/>
                <w:szCs w:val="21"/>
                <w:u w:val="none"/>
                <w:lang w:val="en-US" w:eastAsia="zh-CN" w:bidi="ar"/>
              </w:rPr>
            </w:r>
            <w:r/>
          </w:p>
        </w:tc>
        <w:tc>
          <w:tcPr>
            <w:tcW w:w="5383"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主要技术要求</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w:t>
            </w:r>
            <w:r>
              <w:rPr>
                <w:rFonts w:hint="eastAsia" w:ascii="宋体" w:hAnsi="宋体" w:eastAsia="宋体" w:cs="宋体"/>
                <w:i w:val="0"/>
                <w:iCs w:val="0"/>
                <w:color w:val="000000"/>
                <w:sz w:val="21"/>
                <w:szCs w:val="21"/>
                <w:highlight w:val="none"/>
                <w:u w:val="none"/>
                <w:lang w:val="en-US" w:eastAsia="zh-CN" w:bidi="ar"/>
              </w:rPr>
              <w:t xml:space="preserve">6.8L）</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1.符合XF 124-2013《正压式消防空气呼吸器》标准。</w:t>
            </w:r>
            <w:r>
              <w:rPr>
                <w:rFonts w:hint="eastAsia" w:ascii="宋体" w:hAnsi="宋体" w:eastAsia="宋体" w:cs="宋体"/>
                <w:i w:val="0"/>
                <w:iCs w:val="0"/>
                <w:color w:val="000000"/>
                <w:sz w:val="21"/>
                <w:szCs w:val="21"/>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2.阻燃性能达到EN137的高温火焰吞没测试要求。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3.该产品主要核心部件由全面罩、供气阀、减压器、警报器、背架组成。且所有核心部件为同一品牌产品铭牌。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4.空呼气瓶容积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6.8L，工作压力30MPa，符合</w:t>
            </w:r>
            <w:r>
              <w:rPr>
                <w:rFonts w:hint="eastAsia" w:ascii="宋体" w:hAnsi="宋体" w:eastAsia="宋体" w:cs="宋体"/>
                <w:i w:val="0"/>
                <w:iCs w:val="0"/>
                <w:color w:val="000000"/>
                <w:sz w:val="22"/>
                <w:szCs w:val="22"/>
                <w:u w:val="none"/>
                <w:lang w:val="en-US" w:eastAsia="zh-CN" w:bidi="ar"/>
              </w:rPr>
              <w:t xml:space="preserve">GB</w:t>
            </w:r>
            <w:r>
              <w:rPr>
                <w:rFonts w:ascii="宋体" w:hAnsi="宋体" w:eastAsia="宋体" w:cs="宋体"/>
                <w:i w:val="0"/>
                <w:iCs w:val="0"/>
                <w:color w:val="000000"/>
                <w:sz w:val="22"/>
                <w:szCs w:val="22"/>
                <w:u w:val="none"/>
                <w:lang w:val="en-US" w:eastAsia="zh-CN" w:bidi="ar"/>
              </w:rPr>
              <w:t xml:space="preserve">/T</w:t>
            </w:r>
            <w:r>
              <w:rPr>
                <w:rFonts w:hint="eastAsia" w:ascii="宋体" w:hAnsi="宋体" w:eastAsia="宋体" w:cs="宋体"/>
                <w:i w:val="0"/>
                <w:iCs w:val="0"/>
                <w:color w:val="000000"/>
                <w:sz w:val="22"/>
                <w:szCs w:val="22"/>
                <w:u w:val="none"/>
                <w:lang w:val="en-US" w:eastAsia="zh-CN" w:bidi="ar"/>
              </w:rPr>
              <w:t xml:space="preserve">2805</w:t>
            </w:r>
            <w:r>
              <w:rPr>
                <w:rFonts w:hint="eastAsia" w:ascii="宋体" w:hAnsi="宋体" w:eastAsia="宋体" w:cs="宋体"/>
                <w:i w:val="0"/>
                <w:iCs w:val="0"/>
                <w:color w:val="000000"/>
                <w:sz w:val="22"/>
                <w:szCs w:val="22"/>
                <w:u w:val="none"/>
                <w:lang w:val="en-US" w:eastAsia="zh-CN" w:bidi="ar"/>
              </w:rPr>
              <w:t xml:space="preserve">3-2023的规定。气瓶阀采用右手手轮设计，带自锁功能，安全可靠，防止误操作关闭气瓶。刻度显示0-40Ma，方便随时查看气瓶剩余压力，带夜光显示。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5.空呼面罩体采用EPDM橡胶材质，具有优异的阻燃性能，边框为双层设计，密封性良好，无压痛感。面罩视野开阔，总视野保留率≥79.3%，双目视野保留率≥67.5%，镜面透光率≥95%，吸入空气中二氧化碳含量≤0.89%。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6.面罩、口鼻罩均有3个尺寸可选，能够适应各种脸型。面屏防划、抗冲击，无视觉扭曲。面罩配有颈带，面罩护套，便于携带和存储。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7.空呼需气阀最大供气流量不小于500升/分钟，接头可全方向360度旋转，方便插入面罩，吸气自动供气。供气阀可现场免工具拆解清洗，便于日常清洁保养维护。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8.空呼背板人体工程学设计，贴合性好，高强度复合材料中空背板，重量更轻背负更舒适，6.8L，9L通用。 肩垫和腰垫采用国际顶尖防水耐磨的EVA材质，防水性能极佳且易于维护，气瓶固定带采用增强氯丁橡胶材质,无尼龙搭扣设计，更耐用且缩放气瓶带更便利。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9.空呼气路管中高压管路以及减压阀采用内嵌设计，隐藏在背板凹槽内，减少钩挂和撞击伤害，保护气路。在充满气的状态下，整机佩戴质量≤12kg。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10.智能压力表采用电子报警和机械压力表报警哨设计，机械压力表测量范围不低于40MPa，精度应不低于1.6级，其漏气量≤10L/min。启动报警器平均耗气量≤3.2L/min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11.电子压力表系统正常工作时，压力表指示灯闪绿色，报警时显示红色，方便佩戴者和同伴了解报警信息。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12.气动报警哨与电子报警双报警模式，其中，报警哨与压力表一体化设计，报警哨内置于压力表管路内，并有橡胶套保护，可避免碰撞障碍物发生意外损害。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空呼具备压力平视功能，压力平视装置采用无线连接，安装在面罩内部，防止外部撞击伤害，可不使用任何工具独立拆卸，便于日常维护清洁。抬头显示系统（HUD）不仅支持气瓶压力的显示，当压力不足时，还可实现低压震动报警功能，从而实现空呼的可视，可闻以及可感知的全方位低压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14.压力平视装置采用无线连接，首次使用匹配后，每次使用都可以自动连接，操作简单。当气瓶压力30MPa～10MPa时，绿灯常亮；10MPa～6MPa时，黄灯常亮；6 MPa以下时，红灯闪烁。无论是压力平视显示装置还是发射装置低电量时，压力平视显示都可以通过指示电量灯显示，当压力平视装置电池电量低时，电量指示灯闪黄灯，当智能压力表电池电量低时，电量指示灯显闪绿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15.压力平视装置的防爆性能不低于EXia IIC T4 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▲16.空呼经标准要求的动态呼吸阻力试验后，在气瓶压力30MPa～2MPa，呼气量40×2.5L/min时，吸气阻力≤235Pa，呼气阻力≤589Pa；在气瓶压力2MPa～1MPa，呼气量25×2L/min时，吸气阻力≤157Pa，呼气阻力≤506Pa。</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17.空呼经标准要求的耐高温试验后，呼气阻力≤585Pa。空呼经标准要求的耐低温试验后，呼气阻力≤544Pa。</w:t>
            </w:r>
            <w:r>
              <w:rPr>
                <w:rFonts w:hint="eastAsia" w:ascii="宋体" w:hAnsi="宋体" w:eastAsia="宋体" w:cs="宋体"/>
                <w:i w:val="0"/>
                <w:iCs w:val="0"/>
                <w:color w:val="000000"/>
                <w:sz w:val="22"/>
                <w:szCs w:val="22"/>
                <w:u w:val="none"/>
                <w:lang w:val="en-US" w:eastAsia="zh-CN" w:bidi="ar"/>
              </w:rPr>
            </w:r>
            <w:r/>
          </w:p>
          <w:p>
            <w:pPr>
              <w:pStyle w:val="663"/>
              <w:ind w:left="0" w:right="0" w:firstLine="0"/>
              <w:jc w:val="left"/>
              <w:keepLines w:val="0"/>
              <w:keepNext w:val="0"/>
              <w:pageBreakBefore w:val="0"/>
              <w:spacing w:line="360" w:lineRule="exact"/>
              <w:widowControl w:val="off"/>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18.空呼经标准要求的耐辐射热性能试验后，在气瓶压力30MPa～2MPa，呼气量40×2.5L/min时，吸气阻力≤23Pa，呼气阻力≤538Pa。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19.空呼静态压力≤262Pa，整机气密性测试后，其压力指示值在1min内下降为≤2MPa。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20.提供中文使用说明书。</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1.该产品符合XF 137-2007《消防梯》标准要求。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2.工作高度：6±0.2m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4.梯蹬间距：280±2mm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10.侧板摇摆残余变形比值≤0.12％</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1.符合GB 6245-2006《消防泵》标准要求。</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2.发动机采用双缸、四冲程、风冷，额定功率≥14kw。启动方式：电启动；自回式手拉启动。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3.引水方式：采用全铝油式碳纤维旋片真空泵引水（腔体和转子选用高密度alsimg材质），真空泵前端设置过滤网，且滤网目数≥100目，有效过滤杂物。7米吸深引水时间＜11s，真空密封性能为0，  最大真空度≥88kpa。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4.吸水口径：≥80mm（外螺纹式） ；出水口径：65mm；出水口 180 度可旋转。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5.工况1：吸深3米：额定压力≥0.6Mpa，额定流量≥18.5L/s；工况2：吸深7米：出口压力≥0.6Mpa，流量≥9L/s。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6.最大工作压力≥0.96mpa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7.扬程≥90米；最大流量≥1500L/min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8.置于</w:t>
            </w:r>
            <w:r>
              <w:rPr>
                <w:rFonts w:hint="eastAsia" w:ascii="宋体" w:hAnsi="宋体" w:eastAsia="宋体" w:cs="宋体"/>
                <w:i w:val="0"/>
                <w:iCs w:val="0"/>
                <w:color w:val="000000"/>
                <w:sz w:val="22"/>
                <w:szCs w:val="22"/>
                <w:highlight w:val="none"/>
                <w:u w:val="none"/>
                <w:lang w:val="en-US" w:eastAsia="zh-CN" w:bidi="ar"/>
              </w:rPr>
              <w:t xml:space="preserve">-5℃环境下24h，</w:t>
            </w:r>
            <w:r>
              <w:rPr>
                <w:rFonts w:hint="eastAsia" w:ascii="宋体" w:hAnsi="宋体" w:eastAsia="宋体" w:cs="宋体"/>
                <w:i w:val="0"/>
                <w:iCs w:val="0"/>
                <w:color w:val="000000"/>
                <w:sz w:val="22"/>
                <w:szCs w:val="22"/>
                <w:u w:val="none"/>
                <w:lang w:val="en-US" w:eastAsia="zh-CN" w:bidi="ar"/>
              </w:rPr>
              <w:t xml:space="preserve">冷启动时间≤3s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9.整机重量（加注好润滑油、燃油，含电瓶）≤86.5kg；外形尺寸≤650*590*660mm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10.无机油保护装置；设备未加注机油时，自动控制火花塞暂停点火。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11.自动充电装置,带有自动充电装置功能的配置，能保证机器在运转过程中自行给蓄电池充电,保证蓄电池电量充足。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12.泵组配置先进的轴向力平衡装置，有效避免流体的压力差对性能的影响。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13.多台设备串联,通过选配的专用连接工具,使多台设备能串联工作,达到远距离供水的目的。</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1.符合GB 6246-2011《消防水带》的要求。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2.织物层原材料采用涤纶长丝，内衬聚氨酯材料。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3.在一定压力下能喷射形成水雾状屏障，两喷雾孔间距35±1cm。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4.设计工作压力：1.6MPa，公称内径 65mm，水带编织层与衬里之间的附着强度≥58N/25mm，在设计工作压力下其轴向延伸率和直径膨胀率≤1.7%，膨胀率≤2.8%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5.带卡式消防接口，公称直径65mm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1.结构组成：灯头组件、升降杆组件、灯头罩组件、按键盒组件、支腿组件、滑柄组件、电池组件。</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2.检测标准依据：GB 26755-2011《消防移动式照明装置》。</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4.外形尺寸：≤201*230*1200mm（收纳状态）</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≤800*800*4020mm（升起状态）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5.照明形式：聚光+泛光，面板开关控制，开关/调光，按键控制灯光开启，弱光-工作光-强光转换。灯具APP控制可以实现灯光亮度的连续调节，调光范围10%～100%无极调光。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6.通过APP蓝牙连接可实现灯具及警示灯开关，灯光亮度的10%～100%无极调光，电量显示、灯具充电状态查看，控制距离≥30m。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7.额定电压：≥DC22.2V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▲8.额定容量：≥25Ah</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9.额定功率：≥180W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10.电池使用寿命：≥500次循环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11充电时间：＜5h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▲12.水平回转角：≥360°，俯仰角≥180°</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13.整机重量：≤15kg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14.灯具携带方式：手提、背负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15.支撑方式：金属三角支腿，五节支撑杆。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16.连续工作时间：弱光≥13h，工作光≥10h，强光≥6h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17.绝缘电阻：≥100MΩ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18.耐压强度：试验后应无击穿、闪络现象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19.限位性能：1h内升降杆下滑应不超过6cm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20.抗弯性能：在承受一定的水平拉力后，不得产生永久性变形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21.标志：产品合适的位置上应设有铭牌，标记以下内容：制造厂名、产品名称、产品型号、制造日期、执行标准代号。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▲22.照度：强光工作下：1 米中心照度（单向）≥60000 l*，5米中心照度（单向）≥2700 l*，10 米中心照度（单向）≥600 l*</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23.高温试验、低温试验、恒定湿热试验、雨淋试验、振动试验：试验后，照明装置应能正常工作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24.防爆标志：EX eb ib mb IICT5 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25.防护性能≥IP66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26.使用外接适配器可接入220V电源，可实现长时间工作。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27.三灯头设计，照射角度可调节，可实现单向及环形照明，配备高亮度警示灯，在提供现场作业照明同时增强作业保障能力，最大升起高度4m。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1.该梯由上、下二节组成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2.工作高度：9±0.2m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8.梯蹬弯曲残余变形比值：≤0.07％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1.采用航空铝材</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符合XF137-2007《消防梯》要求。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2.由上、中、下三节组成。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3.工作高度：15±0.3m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4.最小梯宽：350±4mm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6.整梯质量：≤69.2kg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8.水平弯曲残余变形比值：≤0.08％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9.梯蹬弯曲残余变形比值：≤0.11％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11.侧板摇摆残余变形比值：≤0.05％</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一根杆体一端设置有羊角撬头；</w:t>
            </w:r>
            <w:r>
              <w:rPr>
                <w:rFonts w:hint="eastAsia" w:ascii="宋体" w:hAnsi="宋体" w:eastAsia="宋体" w:cs="宋体"/>
                <w:i w:val="0"/>
                <w:iCs w:val="0"/>
                <w:color w:val="000000"/>
                <w:sz w:val="22"/>
                <w:szCs w:val="22"/>
                <w:u w:val="none"/>
                <w:lang w:val="en-US" w:eastAsia="zh-CN" w:bidi="ar"/>
              </w:rPr>
              <w:t xml:space="preserve">另一端是尖镐头，尖镐头和扁镐头固接为一体；拔钉器单根宽度67mm±5mm；开口20mm±5mm ；长度：187mm；鸭嘴撬宽度50mm±5mm，高度153mm, 鹰嘴撬（尖镐）：长度95mm±10mm，产品尖刃能凿穿厚度1.6mm的Q235A钢板且刃口无明显崩刃和开裂，起撬部位应能承受 7840N的载荷；手柄力≥800N，撬锁力≥16KN，拔钉力≥18KN，撬门力≥10KN工具撬口、刀口、镐头、金属柄杆体，刃口做热处理，硬度≥45度。具有撬、砸、刺、捣、绞扭等多项功能，可破拆建筑物门窗、锁具、钉子、螺栓等。</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1.工作高度：4±0.1m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2.最小梯宽：250±2mm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4.整梯质量：≤8.5kg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7.梯蹬弯曲残余变形比值：≤0.12％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hint="eastAsia" w:ascii="宋体" w:hAnsi="宋体" w:eastAsia="宋体" w:cs="宋体"/>
                <w:sz w:val="21"/>
                <w:szCs w:val="21"/>
                <w:vertAlign w:val="baseline"/>
              </w:rPr>
            </w:r>
            <w:r/>
          </w:p>
        </w:tc>
        <w:tc>
          <w:tcPr>
            <w:tcW w:w="5383" w:type="dxa"/>
            <w:vAlign w:val="top"/>
            <w:textDirection w:val="lrTb"/>
            <w:noWrap w:val="false"/>
          </w:tcPr>
          <w:p>
            <w:pPr>
              <w:pStyle w:val="666"/>
              <w:ind w:left="0" w:right="0" w:firstLine="0"/>
              <w:keepLines w:val="0"/>
              <w:keepNext w:val="0"/>
              <w:pageBreakBefore w:val="0"/>
              <w:spacing w:before="0" w:beforeAutospacing="0" w:after="0" w:afterAutospacing="0" w:line="17" w:lineRule="atLeast"/>
              <w:shd w:val="clear" w:color="auto" w:fill="ffffff"/>
              <w:widowControl w:val="off"/>
              <w:rPr>
                <w:rFonts w:hint="eastAsia" w:ascii="宋体" w:hAnsi="宋体" w:eastAsia="宋体" w:cs="宋体"/>
                <w:sz w:val="21"/>
                <w:szCs w:val="21"/>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olor w:val="000000"/>
                <w:sz w:val="22"/>
                <w:szCs w:val="22"/>
                <w:u w:val="none"/>
                <w:lang w:val="en-US" w:eastAsia="zh-CN" w:bidi="ar"/>
              </w:rPr>
              <w:t xml:space="preserve">1.产品符合GB 32459-2015《</w:t>
            </w:r>
            <w:r>
              <w:rPr>
                <w:rFonts w:ascii="宋体" w:hAnsi="宋体" w:eastAsia="宋体" w:cs="宋体"/>
                <w:b w:val="0"/>
                <w:bCs w:val="0"/>
                <w:i w:val="0"/>
                <w:iCs w:val="0"/>
                <w:color w:val="000000"/>
                <w:sz w:val="22"/>
                <w:szCs w:val="22"/>
                <w:u w:val="none"/>
                <w:lang w:val="en-US" w:eastAsia="zh-CN" w:bidi="ar"/>
              </w:rPr>
              <w:t xml:space="preserve">消防应急救援装备 手动破拆工具通用技术条件</w:t>
            </w:r>
            <w:r>
              <w:rPr>
                <w:rFonts w:hint="eastAsia" w:ascii="宋体" w:hAnsi="宋体" w:eastAsia="宋体" w:cs="宋体"/>
                <w:b w:val="0"/>
                <w:bCs w:val="0"/>
                <w:i w:val="0"/>
                <w:iCs w:val="0"/>
                <w:color w:val="000000"/>
                <w:sz w:val="22"/>
                <w:szCs w:val="22"/>
                <w:u w:val="none"/>
                <w:lang w:val="en-US" w:eastAsia="zh-CN" w:bidi="ar"/>
              </w:rPr>
              <w:t xml:space="preserve">》要求。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2.整套工具包括：多功能手柄1个，各类工具头≥4个，消防平斧≥2把。重量≤19KG，配备模块化防水工程塑料箱。</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3.手动破拆手柄</w:t>
            </w:r>
            <w:r>
              <w:rPr>
                <w:rFonts w:hint="eastAsia" w:cs="宋体"/>
                <w:b w:val="0"/>
                <w:bCs w:val="0"/>
                <w:i w:val="0"/>
                <w:iCs w:val="0"/>
                <w:color w:val="000000"/>
                <w:sz w:val="22"/>
                <w:szCs w:val="22"/>
                <w:u w:val="none"/>
                <w:lang w:val="en-US" w:eastAsia="zh-CN" w:bidi="ar"/>
              </w:rPr>
              <w:t xml:space="preserve">部分</w:t>
            </w:r>
            <w:r>
              <w:rPr>
                <w:rFonts w:hint="eastAsia" w:ascii="宋体" w:hAnsi="宋体" w:eastAsia="宋体" w:cs="宋体"/>
                <w:b w:val="0"/>
                <w:bCs w:val="0"/>
                <w:i w:val="0"/>
                <w:iCs w:val="0"/>
                <w:color w:val="000000"/>
                <w:sz w:val="22"/>
                <w:szCs w:val="22"/>
                <w:u w:val="none"/>
                <w:lang w:val="en-US" w:eastAsia="zh-CN" w:bidi="ar"/>
              </w:rPr>
              <w:t xml:space="preserve">浸水2h后绝缘电阻≤11.5GΩ。</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4.消防斧平刃应能砍断10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的Q235A圆钢，且刃口无明显卷刃、崩刃和开裂等现象。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5.冲击式破拆器尖刃能凿裂等级为C20的混凝土试块，且刃口无明显卷刃、崩刃和开裂等现象。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6.撬斧尖刃能凿穿厚度1.5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  </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7.撬斧起撬部位能切割厚度1.5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8.手动破拆工具的金属部分经GB/T10125-2021规定的48小时中性盐雾试验后，外观应符合GB 6461-2002外观等级评定轻微伤级的要求。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9.多功能冲击手柄：冲击行程≤325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10.消防平斧：收缩长度≥460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，最大展开尺寸：≥650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11.多功能手柄连接撬斧拔钉器后总长度≤1210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12.多功能手柄连接金属切割器后总长度≤1210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13.多功能手柄重量≤4.5KG、消防平斧重量≤3.3KG、长尖凿工具头重量≤1.45KG、长平凿工具头重量≤1.5KG、长宽凿工具头重量≤1.8KG、撬斧拔钉器工具头重量≤1.7KG、金属切割器工具头重量≤1.5KG。</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pageBreakBefore w:val="0"/>
              <w:widowControl w:val="off"/>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1.挠杆柄采用高强度的绝缘材料，防高压，可多节组合。杆头可更换，简便快捷。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2.12件套：包括长挠杆2根、短挠杆1根（有水平仪）、挠钩、双头挠钩、消防锯、无火花消防锤、撑顶器、消防剪、消防斧、登高钩、爪耙、工兵铲等。</w:t>
            </w:r>
            <w:r>
              <w:rPr>
                <w:rFonts w:hint="eastAsia" w:ascii="宋体" w:hAnsi="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3.组合连接杆：通过杆头螺纹口延长连接，可现场灵活组合相配套破拆工具使用。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水平仪：测量水平。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配备一个能容纳所有工具的装备箱。</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1.尺寸大于24寸，重量≤2kg，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2.最大剪切线缆12mm，特性剪刃口硬度HRC55—60，材质绝缘剪柄（橡胶）耐电压5000V</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铜合金制成。符</w:t>
            </w:r>
            <w:r>
              <w:rPr>
                <w:rFonts w:hint="eastAsia" w:ascii="宋体" w:hAnsi="宋体" w:eastAsia="宋体" w:cs="宋体"/>
                <w:i w:val="0"/>
                <w:iCs w:val="0"/>
                <w:color w:val="000000"/>
                <w:sz w:val="22"/>
                <w:szCs w:val="22"/>
                <w:highlight w:val="none"/>
                <w:u w:val="none"/>
                <w:lang w:val="en-US" w:eastAsia="zh-CN" w:bidi="ar"/>
              </w:rPr>
              <w:t xml:space="preserve">合GB/T 10</w:t>
            </w:r>
            <w:r>
              <w:rPr>
                <w:rFonts w:hint="eastAsia" w:ascii="宋体" w:hAnsi="宋体" w:eastAsia="宋体" w:cs="宋体"/>
                <w:i w:val="0"/>
                <w:iCs w:val="0"/>
                <w:color w:val="000000"/>
                <w:sz w:val="22"/>
                <w:szCs w:val="22"/>
                <w:u w:val="none"/>
                <w:lang w:val="en-US" w:eastAsia="zh-CN" w:bidi="ar"/>
              </w:rPr>
              <w:t xml:space="preserve">686-2013《铜合金工具防爆性能试验方法》标准要求。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配置明细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1.活动扳手各≥1把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2.防爆呆扳手≥ 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3.防爆梅花扳手≥3把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4.大、小十字螺丝刀各≥1把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5.大、小一字螺丝刀各≥1把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6.防爆管钳≥1把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7.F-扳手≥1把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8.平口扁铲≥1把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9.尖头錾子≥1把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10.平头錾子≥1把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11.木炳铜丝刷≥1把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12.克丝钳≥1把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13.尖嘴钳≥1把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14.手锯≥1把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15.圆头锤≥1把</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1.打开：16.1*6.2*2cm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2.闭合：10.5*3.8*2cm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3.重量：≤280g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4.5CR15刀刃+3CR13部件+2CR13钳头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5.不锈钢手柄</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6.喷砂部件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7.喷砂手柄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8.尖头钳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9.常规钳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10.剪线钳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11.小刀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12.锯子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13.锉子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14.5mm大一字螺丝批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15.剪刀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16.4mm中号一字螺丝批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17.开罐器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18.开瓶器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19.3mm小一字螺丝批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20.割绳器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21.打孔器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22.十字螺丝批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23.尺子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24.皮带夹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25.套筒+11*螺丝(H2,H3,H4,H5,H6（六角）；3,5,7（一字螺丝批）；PH1,PH2,PH3（十字螺丝批）</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1.适用于应急救援现场的小型金属、非金属圈、环的切割；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2.充电式电机，电压3.6V，电量1.5AH，带有电源开关，正/反转功能，带有USB充电线，电机扭矩0.2-5牛，电机具有保护功能。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3.配有万向软轴，可在狭小特殊空间实现≥200mm距离切割，可360°万向切割。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4.锯片直径：≥25mm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5.重量：≤2.5KG（含所有配件）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6.时间：1mm戒指，5秒钟内完成。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7.每套配备：合金锯片2张、训练戒指1套、训练假手指1根、固定夹具1套、消毒液1瓶、卡簧钳1个，润滑脂1盒。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8.专用储运箱，中文使用维护保养说明书或U光盘。</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根据国内各种型号门锁以及各种型号锁芯，选用不低于40cr钢材料制造专用工具，在不损坏防盗门整体结构用于拆卸门锁面板及锁芯，携带方便操作简单快速，可实现15-40s时间内拆卸面板扭断锁芯将防盗门打开，开启90%以上的家用防盗门，搭配辅助工具可以实现开启98%以上的防盗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拆锁夹设计及配置：夹口设计C型咬合口（可调节大小、拆卸面板、拆卸锁芯），内侧设计凹型（拆卸面板起到防滑作用）手柄设计两个U型口（一个为固定型、U型口用于拆卸、全铜锁芯、带钢梁锁芯、全钢锁芯）另一个U型口设计（快拆式螺丝刀、U型口用于拆卸全铜锁芯、螺丝刀头部用于多角度拨动锁体）螺丝刀前端设计不小于8mm平口型，用于转动带钢梁锁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3.配置：电动扳手、手动扳手、宝塔钻头、强开磨具（十字、C级、王力、安防、锁芯强开磨具）、工具箱、透明训练锁具一套。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4.充电式电动扳手：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夹头类型：1/2“方头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转速1/冲击频率1：不小于0-700/0-1400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转速2/冲击频率2：不小于0-1600/0-2200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转速3冲击频率3：不小于0-2800/0-3600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最大扭矩：不小于300NM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电池容量：不小于2.0Ah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充电时间：不大于70min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重量：不大于1.4kg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电池包数量：不小于1。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工具箱尺寸：不大于558*261*100mm、7kg。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透明训练锁具：利用透明硬质塑料板及防盗门锁制作小型模拟防盗门开锁训练器材。</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1.符合GB 27900-2011《消防员呼救器》要求；</w:t>
            </w:r>
            <w:r>
              <w:rPr>
                <w:rFonts w:hint="eastAsia" w:ascii="宋体" w:hAnsi="宋体" w:eastAsia="宋体" w:cs="宋体"/>
                <w:i w:val="0"/>
                <w:iCs w:val="0"/>
                <w:color w:val="000000"/>
                <w:sz w:val="21"/>
                <w:szCs w:val="21"/>
                <w:u w:val="none"/>
                <w:lang w:val="en-US" w:eastAsia="zh-CN" w:bidi="ar"/>
              </w:rPr>
            </w:r>
            <w:r/>
          </w:p>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集呼救器、方位指示灯、温度显示、海拔高度定位、定位互救、无线通信于一体。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3.使用可标注姓名的钥匙开、关机，开机后钥匙保存于后场，可代替现场身份登记。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4.液晶显示重要信息，实时显示工作时间、电池电量、环境温度等信息。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5.具备计时提醒功能，开机15分钟后开始提醒，之后每5分钟提醒一次。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6.具备预报警功能、自动报警功能、手动报警功能和低电压警告功能。</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right="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7.消防员呼救器需具有电池电量检测、显示功能，当电池电量不足时会发出低电量报警。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8.采用免维护高性能防爆锂电池，连续报警时间≥945min，连续工作时间≥24小时。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9.具有温度传感报警，可实时显示环境温度，温度高于设定阈值（80℃）自动报警；可自行设定报警温度为四级。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10.呼救器可进行相互监控，当呼救器出现强报警或手动报警时，其它呼救器有声、光报警；每只呼救器显示报警呼救器（战斗员）的编号。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11.消防员呼救器需具有相对定位搜救功能，可根据同组报警呼救器的信号强度判断搜救方向以及与被搜救者的楼层高度信息。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12.消防员呼救器具有后场软件，可以在手机上登录查看呼救器的基本信息。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13.支持扩展功能：可无线连接心率监测手环、智能电子压力表，屏幕可实时显示空呼压力和动态剩余时间。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14.支持呼救器场外指挥控制管理，支持4G/5G传输数据与消防员呼救器后场接收装置无线连接。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15.支持内置定位功能，可在后场指挥中心实时显示GIS地图位置信息。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16.整机重量≤230g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17.频率误差：发射频率不应大于±1kHz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▲18.频率稳定度：不大于±2.1*10-6</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19.接收灵敏度≤0.28uV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▲20.通信距离≥3000m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21.预报警声级强度≥103dB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22.报警声级强度≥105dB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23.低电压告警声级强度≥85dB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24.发射功率</w:t>
            </w:r>
            <w:r>
              <w:rPr>
                <w:rFonts w:hint="eastAsia" w:ascii="宋体" w:hAnsi="宋体" w:eastAsia="宋体" w:cs="宋体"/>
                <w:i w:val="0"/>
                <w:iCs w:val="0"/>
                <w:color w:val="000000"/>
                <w:sz w:val="22"/>
                <w:szCs w:val="22"/>
                <w:highlight w:val="none"/>
                <w:u w:val="none"/>
                <w:lang w:val="en-US" w:eastAsia="zh-CN" w:bidi="ar"/>
              </w:rPr>
              <w:t xml:space="preserve">≤30dBm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25.具有≥4颗灯的手电筒（辅助照明）功能，在黑暗环境下可提供辅助照明功能。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27.本质安全型，防爆等级不低于EX ib IIC T4 Gb</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 </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6"/>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结构组成：呼救器、含天线、液晶屏、触摸笔1支、充电器2个、车载充电器1个、内置电池。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2.主要应用场景：消防员进入内攻现场使用。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外观及结构：外观整洁，表面无毛刺、划痕、裂纹、变形，表面涂层无气泡、龟裂、脱落，金属零件无锈蚀和机械损伤。产品结构牢固、可靠、安全、便于安装。开关、按键、旋钮的操作灵活可靠，外接附件的接入接触良好、紧固不易松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消防员呼救器后场接收装置功能：将身份识别卡放在刷卡区域，在消防员呼救器后场接收装置系统中能写入身份识别卡信息，能正确读出写好后的每张身份识别卡信息：每组能连接8个人，最多能连接5组40人，能向每个人员</w:t>
            </w:r>
            <w:r>
              <w:rPr>
                <w:rFonts w:hint="eastAsia" w:ascii="宋体" w:hAnsi="宋体" w:eastAsia="宋体" w:cs="宋体"/>
                <w:i w:val="0"/>
                <w:iCs w:val="0"/>
                <w:color w:val="000000"/>
                <w:sz w:val="22"/>
                <w:szCs w:val="22"/>
                <w:u w:val="none"/>
                <w:lang w:val="en-US" w:eastAsia="zh-CN" w:bidi="ar"/>
              </w:rPr>
              <w:t xml:space="preserve">发送撤离命令，每个人员能在2秒内接收到撤离指令，能向所有人员下发撤离命令，所有人员能在2秒内收到撤离命令：指挥员能对某一人发出巡查指令，APP上对应的人处于黄色闪动状态，消防员呼救器有回应显示，主机收到应答信号，APP上黄色闪动的人恢复正常，处于蓝色运动状态；指挥员能对全体人员发出巡查指令，APP上的人处于黄色闪动状态，消防员呼救器有回应显示，主机收到应答信号，APP上黄色闪动的人恢复正常，处于蓝色运动状态；能实时显示消防员呼救器相对于消防员呼救器后场接收装置的高度，消防员呼救器后场接收装置可以校准消防员呼</w:t>
            </w:r>
            <w:r>
              <w:rPr>
                <w:rFonts w:hint="eastAsia" w:ascii="宋体" w:hAnsi="宋体" w:eastAsia="宋体" w:cs="宋体"/>
                <w:i w:val="0"/>
                <w:iCs w:val="0"/>
                <w:color w:val="000000"/>
                <w:sz w:val="22"/>
                <w:szCs w:val="22"/>
                <w:u w:val="none"/>
                <w:lang w:val="en-US" w:eastAsia="zh-CN" w:bidi="ar"/>
              </w:rPr>
              <w:t xml:space="preserve">救器的初始高度值为“0：系统进入分组设置界面能进行编组；分组后，综合显示以小组为单位显示，能下发“全组撤退”指令及“全体撤退”指令：综合显示中，能识别每个在线人员的信号、状态、组别、空呼气压、剩余工作时间、心率、环境参数（环境温度、气体含量）、高度、运动状态（正常运动状态、跌倒预报警状态、跌倒连续报警状态）、呼救器电量工作状态的实时状态；消防员呼救器后场接收装置能录入和编辑40个人员的中文或英文实名；进入系统设置界面能查看每个呼救器的工作历史数据。消防员呼救器后场接收装置采用通信指挥、集中充电为一体的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▲5.传输距离：消防员呼救器与消防员呼救器后场接收装置之间的传输距（空旷地带，无中继）</w:t>
            </w:r>
            <w:r>
              <w:rPr>
                <w:rFonts w:hint="eastAsia" w:ascii="宋体" w:hAnsi="宋体" w:eastAsia="宋体" w:cs="宋体"/>
                <w:i w:val="0"/>
                <w:iCs w:val="0"/>
                <w:color w:val="000000"/>
                <w:sz w:val="22"/>
                <w:szCs w:val="22"/>
                <w:highlight w:val="none"/>
                <w:u w:val="none"/>
                <w:lang w:val="en-US" w:eastAsia="zh-CN" w:bidi="ar"/>
              </w:rPr>
              <w:t xml:space="preserve">≥3km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6.连续工作时间 h：＞10</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7.高温（运行）试验：温度60℃，持续时间：2h，状态；工作。试验中及试验后能正常工作。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▲8.低温（运行）试验：温度：-25℃，持续时间：2h，状态；工作。试验中及试验后能正常工作。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9.高温贮存试验：温度：70℃，持续时间：24h，恢复时间：12h，状态：非工作。试验后能正常工作。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10.低温贮存试验温度：-40℃，持续时间：24h，恢复时间：12h，状态，非工作。试验后能正常工作。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13、交变湿热试验：①温度：（25 士 3）℃～（40 士 2）℃，湿度：95%～100%，持续时间：3h，②温度：（40±2）℃，湿度：（93 士 3）%，持续时间：9h,③温度：（40 士 2）～（25±3）℃，湿度：95%～100%，持续时间：12h,状态：非工作。试验后能正常工作。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11.自由跌落试验：跌落高度：0.6m，跌落方向：3轴线方向，每轴向次数：1次，状态：非工作。试验后，功能正常，壳体完好。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13.振动试验：频率范围：（10～150）Hz，加速度幅值：1g，扫描速率：1（倍频程/min）,3 轴线方向，每轴线循环20次，状态：非工作。试验后能正常工作。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14.绝缘电阻：在正常使用环境条件下，消防员呼救器后场接收装置正负电极与外壳之间：&gt;550MΩ，湿热试验后，消防员呼救器后场接收装置正负电极与外壳之间：55OMΩ。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15.静电放电抗扰度试验：接触放电：4kV，空气放电：8kV，状态：工作。试验后能正常工作。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16.射频电磁场辐射抗扰度试验：频率范围：8OMHz1GHz，场强：10V/m，调制幅度：80%(1KHz，正弦）,状态：工作。试验中功能正常。</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一级化学防护服</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suppressLineNumbers w:val="0"/>
            </w:pPr>
            <w:r>
              <w:rPr>
                <w:rFonts w:hint="eastAsia" w:ascii="宋体" w:hAnsi="宋体" w:eastAsia="宋体" w:cs="宋体"/>
                <w:i w:val="0"/>
                <w:iCs w:val="0"/>
                <w:color w:val="000000"/>
                <w:sz w:val="22"/>
                <w:szCs w:val="22"/>
                <w:u w:val="none"/>
                <w:lang w:val="en-US" w:eastAsia="zh-CN" w:bidi="ar"/>
              </w:rPr>
              <w:t xml:space="preserve">1.符合XF 770-2008《消防员化学防护服装》要求。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2.产品认证实施规则：CCCF-CPRZ-27:2019。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面料采用内外对称结构、高阻隔多元共混橡胶制作而成，具有广谱高效的化学防化性能和耐热老化、低温柔软等性能。阻燃性能好，遇火只产生炭化，不熔滴。为可重复使用的化学防护服。防化服接缝处采用内外双层防化贴条处理，超声波焊接及热风加强型接缝设计，界面无缝贴附融为一体，有效提高防护性能。内部设计通风排湿系统。</w:t>
            </w:r>
            <w:r/>
          </w:p>
          <w:p>
            <w:pPr>
              <w:pStyle w:val="663"/>
              <w:numPr>
                <w:ilvl w:val="0"/>
                <w:numId w:val="0"/>
              </w:numPr>
              <w:jc w:val="left"/>
              <w:keepLines w:val="0"/>
              <w:keepNext w:val="0"/>
              <w:pageBreakBefore w:val="0"/>
              <w:widowControl w:val="off"/>
              <w:suppressLineNumbers w:val="0"/>
            </w:pPr>
            <w:r>
              <w:rPr>
                <w:rFonts w:hint="eastAsia" w:ascii="宋体" w:hAnsi="宋体" w:eastAsia="宋体" w:cs="宋体"/>
                <w:i w:val="0"/>
                <w:iCs w:val="0"/>
                <w:color w:val="000000"/>
                <w:sz w:val="22"/>
                <w:szCs w:val="22"/>
                <w:u w:val="none"/>
                <w:lang w:val="en-US" w:eastAsia="zh-CN" w:bidi="ar"/>
              </w:rPr>
              <w:t xml:space="preserve">▲5.整体气密性/Pa：≤300；贴条的粘附强度/kN/m：≥0.78；超压排气阀：气密性/s：≥15；通气阻力/Pa：78～118；通风系统分配阀：定量供气量5±1L/min，手控最大供气量≥30L/min；整套重量≤8kg。</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6.面料性能：阻燃性能，有焰燃烧时间≤3s，无焰燃烧时间≤1s，经纬向损毁长度≤8cm；经纬向拉伸强度≥25kN/m；经纬向撕裂强力≥110N；接缝强力≥1000N；耐热老化性能（125℃×24h）不粘、不脆。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7.化学防护手套耐热老化性能（125℃×24h）：不粘、不脆；耐寒性能：无裂纹；耐刺穿力≥25N；手套灵巧性能≥5级；可拆卸更换。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化学防护靴采用航空铝包头结构，具有抗砸、防穿刺性能，可拆卸更换。靴底抗刺穿力≥2000N；电绝缘性能：击穿电压≥5000V，泄露电流≤0.5mA；防滑性能：始滑角≥15°；防砸性能：静压力试验和冲击试验后间隙高度≥18mm。</w:t>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大视窗面屏采用高强耐冲击透明工程材料制作，双层结构防雾保明设计，内层采用改性纳米技术集成防雾及防化功能于一体，外层面屏为内层面屏保护层，提供耐磨防擦伤功能，可实现长效的防雾保明，方便救援工作。面屏抗刺穿力≥300N。</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90"/>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1.符合DL/T 1125-2009《10KV 带电作业用绝缘服装》标准要求。绝缘靴符合GB 21148-2020《足部防护 安全鞋》标准要求，绝缘手套符合GB/T 17622-2008《带电作业用绝缘手套》标准要求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2.适用于消防员在额定电压为10KV及以下带电类火灾事故现场进行抢险救援时使用的防护服装。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3.电绝缘装具包含电绝缘服、绝缘靴、绝缘手套组成。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4.电绝缘服由三层结构复合制成，外层和里层为阻燃橡胶布、中间层为高分子绝缘膜。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5.电绝缘手套为经特殊处理天然橡胶制成，质地柔软，采用五指设计。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6.电绝缘靴采用高压橡胶制成。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表层拉伸强度：平均值≥20Mpa，最低值≥平均值的95%。表层抗机械刺穿：平均值≥50N，最低值≥平均值的98%。表层抗撕裂：平均值≥150N，最低值≥平均值的98%。电气性能：交流电压以1000V/S的速度上升至20KV，保持1min后，应无闪络、击穿、发热现象。绝缘手套耐电压≥12KV。GB</w:t>
            </w:r>
            <w:r>
              <w:rPr>
                <w:rFonts w:hint="eastAsia" w:ascii="宋体" w:hAnsi="宋体" w:cs="宋体"/>
                <w:i w:val="0"/>
                <w:iCs w:val="0"/>
                <w:color w:val="000000"/>
                <w:sz w:val="22"/>
                <w:szCs w:val="22"/>
                <w:u w:val="none"/>
                <w:lang w:val="en-US" w:eastAsia="zh-CN" w:bidi="ar"/>
              </w:rPr>
              <w:t xml:space="preserve">/T </w:t>
            </w:r>
            <w:r>
              <w:rPr>
                <w:rFonts w:hint="eastAsia" w:ascii="宋体" w:hAnsi="宋体" w:eastAsia="宋体" w:cs="宋体"/>
                <w:i w:val="0"/>
                <w:iCs w:val="0"/>
                <w:color w:val="000000"/>
                <w:sz w:val="22"/>
                <w:szCs w:val="22"/>
                <w:u w:val="none"/>
                <w:lang w:val="en-US" w:eastAsia="zh-CN" w:bidi="ar"/>
              </w:rPr>
              <w:t xml:space="preserve">17622-2008《带电作业用绝缘手套》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绝缘靴耐电压≥25KV。GB 21148-2020《足部防护 安全鞋》。</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1.结构组成：主机，电池2块，充电器，肩带，携行箱等。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2.主要适用场景：消防用红外热像仪能够在黑暗、浓烟环境中人员搜救或火源寻找。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3.符合XF/T 635-2023 《消防用红外热像仪》标准要求。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4.防爆认证等级≥EX ic ⅡC T3 Gc</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5.采样帧速率≥25帧/秒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6.探测器像素：≥380*280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7.工作波段：8μm—14μm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8.一般工作温度：-20℃～+60℃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9.特定工作温度：50℃—260℃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10.工作环境湿度：≤95%（40℃）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11.存贮环境温度：-40℃～+70℃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显示功能：具有白热、黑热、搜救、热扫描、可见光、标准模式、火场、冷驱扫描等，≥8种。具有温度测量值、电池耗量、温度标尺,超温、拍照或摄像状态显示功能低电量报警功能：应具有声或光报警或低电量提示功能，图像降噪功能，拍照或摄像及存储功能，照片或录像的回放功能，单点或多点温度显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13.操作提示功能：具备中文的操作菜单或提示功能。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14.质量：≤2kg（包括电池）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15.空间分辨力：≤3mrad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16.噪声等效温差（NETD）：≤50mK</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17.测温范围：-20℃～1000℃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18.测温精度：在100℃以内（包含100℃）应控制在±2℃以内（包含±2 ℃）,在 100℃以上应控制在测量值（℃）的±2%以内（包含±2%）。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19.温度漂移：在不同环境温度工作时对黑体温度测量值的漂移量≤2 ℃（黑体设定温度不大于100℃时）或黑体设定温度的2%（黑体设定温度大于100℃时）。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20.连续稳定工作时间：≥2h。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▲21.特定环境温度持续工作时间：80℃时≥30min，120℃时≥10min，260℃时≥5min。</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22.抗跌落性能：以三个方向（*、Y、Z）从1米高度自由跌落到混凝土地面一次后可正常工作（外壳配件可更换）。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24.显示屏≥3.5英寸，支持屏幕亮度自动调节。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25.存储功能：支持在本机实时查看拍摄保存的图片和视频。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26.具有工作指示灯功能、激光指示功能。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27.具备最高温、最低温和中心点测温功能；具备冷热点追踪功能，全屏最高温及最低温自动指针搜寻功能，可同时显示最高及最低温度。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28.供电方式：锂电池供电，主机具备电量显示功能，为保证续航，配备2块电池，单块电池工作时间：≥5h。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29.配有加速度传感器，待机状态下，轻触机身可快速复位。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30.视场角：水平方向≥ 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31.可存储2000张图片和10小时视频。</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，内径≥63.5mm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5.单位长度质量≤234g/m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6.工作压力：1.6MPa，爆破压力≥5.48MPa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7.延伸率≤1.6%，膨胀率≤4.6%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▲8.水带织物层与衬里之间的附着强度≥70N/25mm。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9.扯断伸长率≥463%，扯断强度≥51.5MPa。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11.每盘水带接口处绑扎不少于5道*3道铁丝，测试压力32公斤时不脱口、不渗漏。水带和接口捆绑处有专用的保护套保护。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7"/>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5.单位长度质量≤300g/m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w:t>
            </w:r>
            <w:r>
              <w:rPr>
                <w:rFonts w:hint="eastAsia" w:ascii="宋体" w:hAnsi="宋体" w:eastAsia="宋体" w:cs="宋体"/>
                <w:i w:val="0"/>
                <w:iCs w:val="0"/>
                <w:color w:val="000000"/>
                <w:sz w:val="22"/>
                <w:szCs w:val="22"/>
                <w:highlight w:val="none"/>
                <w:u w:val="none"/>
                <w:lang w:val="en-US" w:eastAsia="zh-CN" w:bidi="ar"/>
              </w:rPr>
              <w:t xml:space="preserve">爆破压力≥6.8MPa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7.延伸率≤2.4%，膨胀率≤4.7%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9.扯断伸长率≥455.9%，扯断强度≥54.4MPa。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5.单位长度质量≤348g/m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6.工作压力：2.0MPa，</w:t>
            </w:r>
            <w:r>
              <w:rPr>
                <w:rFonts w:hint="eastAsia" w:ascii="宋体" w:hAnsi="宋体" w:eastAsia="宋体" w:cs="宋体"/>
                <w:i w:val="0"/>
                <w:iCs w:val="0"/>
                <w:color w:val="000000"/>
                <w:sz w:val="22"/>
                <w:szCs w:val="22"/>
                <w:highlight w:val="none"/>
                <w:u w:val="none"/>
                <w:lang w:val="en-US" w:eastAsia="zh-CN" w:bidi="ar"/>
              </w:rPr>
              <w:t xml:space="preserve">爆破压力≥7.6MPa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7.延伸率≤2.9%，膨胀率≤5.9%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 扯断伸长率≥458.4%，扯断强度≥55.8MPa。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10.接口的弹簧疲劳寿命大于10000次以上，在3.0MPa水压下不应发生渗漏现象。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1.水带符合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内径：≥38mm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5.单位长度质量≤167g/m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6.工作压力：2.5MPa，爆破压力≥9.3MPa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7.轴向延伸率≤0.9%，直径膨胀率≤5%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▲8.水带织物层与衬里之间的附着强度≥75N/25mm。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9.水带扯断伸长率≥486%，水带扯断强度≥57MPa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10.接口采用铝合金锻造而成的卡式快速接口。</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1.水枪符合GB 8181-2005《消防水枪》标准要求。</w:t>
            </w:r>
            <w:r>
              <w:rPr>
                <w:rFonts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枪管采用高强度铝镁合金锻造成型，选用铝镁合金A6061材质，材料经高温热处理使材质性能达到最优，表面黑色硬质氧化防腐处理。阀体：采用压铸工艺，选用YL112材质。手柄：采用锻造工艺，选用铝镁合金A6061材质</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表面阳极氧化防腐处理带有蓝色保护胶套。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3.用于扑救一般固体物质火灾，以及可以使用A类泡沫灭火时的辅助冷却等。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4.进水口为 65 快速接口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5.每分钟出水流量≥7.0(L/s)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6.重量≤7</w:t>
            </w:r>
            <w:r>
              <w:rPr>
                <w:rFonts w:hint="eastAsia" w:ascii="宋体" w:hAnsi="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t xml:space="preserve">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7.开关力矩≤4.0N/m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8.射程≥32米。</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1.浮艇泵符合GB 6245-2006《消防泵》要求。 </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2.浮挺泵配有四个集成手柄使泵便于搬运，也可用于拴绑固定绳索，防止泵漂走；</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3.发动机类型：功率≥4.0kW，单杠、风冷、四冲程，最大扬程≥30米，最大流量≥1200升/分钟。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4.额定流量≥10.0L/s，额定压力≥0.150MPa，最大流量≥20.0L/s。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5.吸水口：带有可拆卸不锈钢滤网，可过滤直径大于10毫米的异物。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6.出水口：1个，直径≥65。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7.自带油箱容量≥1.0升，附加油箱容量≥3.8升；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8.设备尺寸≤720*620*410mm，净重≤25公斤。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restart"/>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sz w:val="21"/>
                <w:szCs w:val="21"/>
                <w:vertAlign w:val="baseline"/>
              </w:rPr>
            </w:r>
            <w:r/>
          </w:p>
        </w:tc>
        <w:tc>
          <w:tcPr>
            <w:tcW w:w="1125" w:type="dxa"/>
            <w:vAlign w:val="center"/>
            <w:vMerge w:val="restart"/>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多功能消防水枪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65口径多功能水枪</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1.流量：10升/秒（600升/分）。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2.具有直流/开花/喷雾功能，最大喷雾角不小于120°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▲3.5档出水流量调节，分别是（2.5-4-6.5-8-10）升/秒；</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4.具备冲洗功能，使用后调至冲洗档位即可对消防枪内部进行冲洗。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5.消防枪配置旋转雾化齿，工作时雾化齿360°不间断旋转切割水雾，增大灭火面积，提高降温速度，达到最佳灭火效果。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6.操作简便，只需要转动枪头90°即可实现从直流到喷雾的完全切换。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7.枪头上配有人体工程学凸点，既便于工作模式切换，也保证即使在视线不好时，也知道水枪的实时工作状态，凸点向上表示直流位置。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8.采用U型手柄，工程材质球阀开关，有一定的自修复功能。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9.水带接口可以360°无限旋转，有效防止水带打结。</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continue"/>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25" w:type="dxa"/>
            <w:vAlign w:val="center"/>
            <w:vMerge w:val="continue"/>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40口径多功能水枪：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1.水带连接接口可为 40内扣/65 快速等多种接口。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2.在喷射压力为6公斤时，射程为 28 米，流量挡位为2档：2.5/4.0L/S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3.喷雾角最小调节范围（°）0～120</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4.枪头喷射模式可通过旋转枪头调节直流，半喷雾，喷雾。</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1.供气量：≥320L/min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2.压缩级数：3级压缩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3.电机功率：≤7.5kW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4.充气压力：≥320BAR</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5.二级独立式油水分离器。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对压缩机的气体中含有氧气、一氧化碳、二氧化碳、露点、油雾气与颗粒物、异味的</w:t>
            </w:r>
            <w:r>
              <w:rPr>
                <w:rFonts w:hint="eastAsia" w:ascii="宋体" w:hAnsi="宋体" w:eastAsia="宋体" w:cs="宋体"/>
                <w:i w:val="0"/>
                <w:iCs w:val="0"/>
                <w:color w:val="000000"/>
                <w:sz w:val="22"/>
                <w:szCs w:val="22"/>
                <w:highlight w:val="none"/>
                <w:u w:val="none"/>
                <w:lang w:val="en-US" w:eastAsia="zh-CN" w:bidi="ar"/>
              </w:rPr>
              <w:t xml:space="preserve">空气质量符合GB/T 31975-2015</w:t>
            </w:r>
            <w:r>
              <w:rPr>
                <w:rFonts w:hint="eastAsia" w:ascii="宋体" w:hAnsi="宋体" w:cs="宋体"/>
                <w:i w:val="0"/>
                <w:iCs w:val="0"/>
                <w:color w:val="000000"/>
                <w:sz w:val="22"/>
                <w:szCs w:val="22"/>
                <w:highlight w:val="none"/>
                <w:u w:val="none"/>
                <w:lang w:val="en-US" w:eastAsia="zh-CN" w:bidi="ar"/>
              </w:rPr>
              <w:t xml:space="preserve">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7.两个级间安全阀，一个末级安全阀，避免超压使用，末级安全阀可以通过旋钮式调压方式设定充气压力。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8.采用PLC控制及触摸屏显示，中文操作界面，全自动控制功能，软件管理。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9.具有智能型模块化充气管理软件：人员管理/充气管理/气瓶管理/压缩机管理/输出管理，</w:t>
            </w:r>
            <w:r>
              <w:rPr>
                <w:rFonts w:hint="eastAsia" w:ascii="宋体" w:hAnsi="宋体" w:cs="宋体"/>
                <w:i w:val="0"/>
                <w:iCs w:val="0"/>
                <w:color w:val="000000"/>
                <w:sz w:val="22"/>
                <w:szCs w:val="22"/>
                <w:highlight w:val="none"/>
                <w:u w:val="none"/>
                <w:lang w:val="en-US" w:eastAsia="zh-CN" w:bidi="ar"/>
              </w:rPr>
              <w:t xml:space="preserve">远程</w:t>
            </w:r>
            <w:r>
              <w:rPr>
                <w:rFonts w:hint="eastAsia" w:ascii="宋体" w:hAnsi="宋体" w:eastAsia="宋体" w:cs="宋体"/>
                <w:i w:val="0"/>
                <w:iCs w:val="0"/>
                <w:color w:val="000000"/>
                <w:sz w:val="22"/>
                <w:szCs w:val="22"/>
                <w:highlight w:val="none"/>
                <w:u w:val="none"/>
                <w:lang w:val="en-US" w:eastAsia="zh-CN" w:bidi="ar"/>
              </w:rPr>
              <w:t xml:space="preserve">数据化。</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lang w:val="en-US" w:eastAsia="zh-CN" w:bidi="ar"/>
              </w:rPr>
              <w:t xml:space="preserve">）人员管理模块：实现具有资质充气人员的资质管理和充气人员权限管理，登录操作界面可以通过打卡、刷脸、指纹或者密码方式进入，其他人员不能随意登录。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lang w:val="en-US" w:eastAsia="zh-CN" w:bidi="ar"/>
              </w:rPr>
              <w:t xml:space="preserve">）充气管理模块：应能实现管理软件判定不合格气瓶及违规充气数据化记录，应能为合规化充气管理提供溯源性数据记录。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lang w:val="en-US" w:eastAsia="zh-CN" w:bidi="ar"/>
              </w:rPr>
              <w:t xml:space="preserve">）气瓶管理模块：实现了气瓶出厂年限、水压检测周期、保管人员、所属站室存放的数字化管理，气瓶电子标签通过RFID自动扫描识别，管理软件自动逻辑判断气瓶充气的合格性，为合规化充气管理提供溯源数据，同时具有气瓶水压检测到期提醒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lang w:val="en-US" w:eastAsia="zh-CN" w:bidi="ar"/>
              </w:rPr>
              <w:t xml:space="preserve">）压缩机管理模块：采用西门子PLC控制功能，中文操作界面，对压缩机具有运行数据显示、设定和保护模块。</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lang w:val="en-US" w:eastAsia="zh-CN" w:bidi="ar"/>
              </w:rPr>
              <w:t xml:space="preserve">）输出管理模块：应具有报警数据自动打印输出和短信或微信提醒功能，每只气瓶充气完毕后应具有充气人员信息、充气时间和水压试验周期信息标签打印功能，同时具有查询功能。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2"/>
                <w:szCs w:val="22"/>
                <w:highlight w:val="none"/>
                <w:u w:val="none"/>
                <w:lang w:val="en-US" w:eastAsia="zh-CN" w:bidi="ar"/>
              </w:rPr>
              <w:t xml:space="preserve">）远传功能（手机APP或PC端）：由智能物联网触摸屏通过WIFI远传到APP，可通过手机（电脑）操作、显示界面与触控屏操作同步进行远程操控。</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10.两工位防爆箱采用双层结构：外箱采用双层5mm钢板制成，内箱中两个碳纤维瓶放置位置单独隔开，中间采用5mm钢板分割，前侧采用3mm钢板。门采用5mm钢板制成，防爆充气箱和人员间的钢板厚度为10mm。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11.具有开门连锁、关门自锁功能。</w:t>
            </w:r>
            <w:r>
              <w:rPr>
                <w:rFonts w:hint="eastAsia" w:ascii="宋体" w:hAnsi="宋体" w:eastAsia="宋体" w:cs="宋体"/>
                <w:sz w:val="21"/>
                <w:szCs w:val="21"/>
                <w:highlight w:val="none"/>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人工操作前端握持手柄和后端开关手柄的间距为350mm-400mm之间。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整机质量≤18kg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破拆性能：切割深度≥110mm；切割速度≥150</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pageBreakBefore w:val="0"/>
              <w:widowControl w:val="off"/>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1.电压≥28V 5.6AH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2.净重≤11.5KG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3.空载功率（W）≥140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4.切断速度：3-5.5S （切25mm钢筋5.5s）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5.开口距离≥27mm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6.最大切割能力：≥20mm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7.最大剪切力≥251KN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8.配备：主机1台、充电器1个、锂电池2块、辅助手柄1个，专用扳手1个、备用油壶1瓶，专用工具箱1个.</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1.产品配置高清综合声呐探头，具有下扫/侧扫、传统扫描功能，配有安装套件，可在冲锋舟上安装。提供非常清晰的标。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2.声纳主机液晶触摸屏尺寸≥7英寸，具有多点触摸和按键选择双操作方式。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3.多分屏显示，支持同时查看多个画面，可独立控制，也可任意设置组合界面。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4.显示水深、水温、量程、时间、定位，2个微型SD数据卡插槽，64G存储内存，支持声呐结构扫描录制，可回放查看分析。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▲5.声呐探测量程：侧扫距离量程深度150m，下扫距离量程深度150m。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6.内置GPS天线、全球简易海图、显示模式为北向上、GPS警报、航点储存数量5000个、航线储存数量100条。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7.内置1个microSD存储卡槽，最小支持64GB，可查看声呐历史数据回放。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8.声呐具有导航定位功能及GPS警报功能。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9.配置12V、100AH锂电池电源。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10.整套设备配置专业运输箱，防护指数：IP67,防水、防尘、防震、抗摔。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11.具有永久性标志及产品数据标识。</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5G单兵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1.结构组成：主机、电池、背夹、数据线、安全箱。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▲3.要求支持双摄像头采集、双MIC输入、双TF卡存储、双SIM卡传输、双外接天线；</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4.配置要求支持Android11以上操作系统、8核CPU、主频不低于2.6Ghz，RAM≥4GB，ROM≥64GB，外接存储支持2*512GB。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5.视频压缩支持H.264或H.265，在两种压缩格式下，主副摄像头分辨率要求支持1920*1080、1280*720、640*480，主摄像头水平中心分辨力要求≥1300TVL、副摄像头水平中心分辨力要求≥600TVL，帧率1-30帧可调。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6.支持HDMI外接视频输入，分辨率支持1920*1080、1280*720；支持TYPE-C接口充电及传输数据。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7.屏幕尺寸≥4.6英寸，分辨率不低于720*1280。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8.外壳防护等级支持IP68。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9.支持接入中国移动、中国电信、中国联通4G、5G网络。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▲10.在开机状态下，6min内更换电池设备原工作状态不变，且数据不丢失；</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11.支持裸机跌落，设备开机状态下，在垂直2000mm水泥地面6个面各跌落2次，设备能正常工作。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12.外观尺寸≤180×80×40(mm) ，重量≤460克。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13.支持双码流输出，双码流参数可独立设置。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14.支持红蓝绿三色指示欠压、充电、充满指示，支持低电量报警。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15.支持在联网状态下与平台、其他设备进行群组对讲。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16.支持远程发送文字、图片、语音、视频短片，支持接收远程平台下发的定位及警情信息。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18.具备开关机、旋转、菜单、翻页+/-、PTT、对讲、SOS、拍照、录像、等按键。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★19.可无缝接入江苏省消防救援总队互联网图像管理平台和消防救援局图像综合管理平台。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20.设备工作温度-2</w:t>
            </w:r>
            <w:r>
              <w:rPr>
                <w:rFonts w:hint="eastAsia" w:ascii="宋体" w:hAnsi="宋体" w:eastAsia="宋体" w:cs="宋体"/>
                <w:i w:val="0"/>
                <w:iCs w:val="0"/>
                <w:color w:val="000000"/>
                <w:sz w:val="22"/>
                <w:szCs w:val="22"/>
                <w:u w:val="none"/>
                <w:lang w:val="en-US" w:eastAsia="zh-CN" w:bidi="ar"/>
              </w:rPr>
              <w:t xml:space="preserve">0℃至60℃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21.附件包含如下：安全箱；座充（可同时给主机和电池充电）\随主机配备背夹\数据线\天线。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22.持续工作时间不低于6h。</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5G球机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8"/>
              </w:numPr>
              <w:jc w:val="left"/>
              <w:keepLines w:val="0"/>
              <w:keepNext w:val="0"/>
              <w:pageBreakBefore w:val="0"/>
              <w:widowControl w:val="off"/>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结构组成：布控球主机、防护箱、托盘、三脚支架、蓝牙耳机、充电线、球机安全绳、有线手咪和车载充电器。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2.主要应用场景：用于消防员灭火救援作业现场图像实时传输。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3.产品要求具备双电源接口，1报警输入和1报警输出接口，双TF卡，4G+5G卡位，双扬声器、具备debug接口及复位按钮。</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4.支持近距离红外补光，远距离激光补光，可看清距样机100m处人体轮廓，补光角度：激光：≤15°，红外：≤60°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▲5.内置双扬声器，可自定义文本转语音播报，样机可外接有线手咪或无线蓝牙手咪，支持双向语音，支持集群对讲。</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▲6.设备要求支持在-30～60℃下能正常工作；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交流电的抗电强度试验，历时1min应无击穿和飞弧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8.设备外壳防护符合GB/T4208-2017中IP66的规定，带包装跌落高度1.5m跌落后，设备能正常工作。</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9.产品尺寸直径≤200mm，高度≤300mm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10.云台支持水平360°连续转动、垂直-20°～90°转动，水平转速≥120°/s，垂直转速≥30°/s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11.支持变倍控制、隐私区域遮挡、支持3D定位。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12.编码算法支持H.264和H.265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13.要求支持视频双码流，双码流规格均支持1920×1080/1280*720/640*480，帧率1-30帧/秒可调，码流64kbps～10Mbps可设置。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14.支持图片抓拍，抓拍图片支持保存到本地或上传到服务器，且可在本地检索回放，图片分辨率支持1920×1080/1280*720/640*480。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15.支持在输出的图像中叠加中文文字和符号信息，信息至少包括：时间、经纬度、名称等。支持根据分辨率适配字体大小：VGA：32*32、720P：48*48、1080P：64*64。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网络通信功能：支持5G、4G通信；支持Wi-Fi通信、AP热点通信，可通过手动或语音切换Wi-Fi与AP热点模式；支持以太网，10/100自适应全双工模式；支持蓝牙通信，可搜索蓝牙设备列表选择配对，并可保存配对信息和自动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17.可持双TF卡存储，单卡最大可支持512GB，存储格式具有流式文件和电脑通用文件格式可选，存储的录像文件支持通过有线和无线方式导出。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19.设备采用宽电源设计，DC8V-36V范围内，样机可正常工作，并支持ACC信号开关机；设备自带液晶显示屏，支持查看当前拨号、电量、网络、录像、定位和存储状态。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支持远程配置设备参数，包括视频参数、网络参数、音频参数、定位参数、远程升级和恢复出厂设置等。支持通过手机连接样机AP热点，并可实现预览视频，双向语音对讲，录像查询、回放，以及视频/网络/音频/定位等参数配置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设备电池支持在1920×1080,25帧/s并开启本地录像条件下，连续工作时间≥12h，支持电池电量的显示值可以1%的精度递增或递减，支持通过语音、蜂鸣器、指示灯方式提示低电压报警，并支持报警时间上传至服务器。</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★22.可无缝接入江苏省消防救援总队互联网图像管理平台和部局图像综合管理平台。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23.设备配套应具以下附件：箱子1个、电源适配器1个、三脚架1个、托盘1个、有线手机、蓝牙耳机1个、车载充电器1个。</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val="0"/>
              <w:pageBreakBefore w:val="0"/>
              <w:spacing w:line="36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发光通信导向绳</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pageBreakBefore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内攻通信导向绳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1.主要应用场景：常用于地下商场、仓库、山洞、隧道等黑暗环境中进行的抢险、探察灾情、救生逃生等。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2.结构组成：由线体、线盘、电池一体化组成。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3.组成部分：消防员救生照明线、通信网关、中继网关组成。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4.具有多网融合通信功能，集专网、公网通信手段于一体，整套系统可将对讲机、WIFI通信信号实时转发。同时支持接入语音自组网设备。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5.网关之间有线通信速率：通信速率≥2Mbits/s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▲6.网关防爆性能：≥EX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7.网关有线级联跳数：≥3跳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8.网关拓展接口：支持网口和ODC光口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9.网关连续工作时间≥10h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10.网关防护等级：IP68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11.通信网关SIM卡接口：支持机壳外更换SIM卡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▲12.线盘防爆性能：≥EX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13.救生照明线一体化结构设计，内置锂电池，线长≥100米，发光亮度≥103cd/㎡，线体拉力≥505N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14.具备长亮、慢闪、快闪、导向功能，长亮连续工作时间≥10h，闪烁连续工作时间≥20h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▲15.救生照明线重量≤8kg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pageBreakBefore w:val="0"/>
              <w:widowControl w:val="off"/>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16具有高亮辅助照明灯功能，在黑暗的环境中可提供辅助照明，线盘具有方位灯功能，方便寻回。</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663"/>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四、其他要求：</w:t>
      </w:r>
      <w:r>
        <w:rPr>
          <w:rFonts w:hint="eastAsia" w:ascii="宋体" w:hAnsi="宋体" w:eastAsia="宋体" w:cs="宋体"/>
          <w:b/>
          <w:bCs/>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1、质保期：2年 。</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供货期限</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63"/>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rPr>
          <w:rFonts w:hint="eastAsia" w:ascii="宋体" w:hAnsi="宋体" w:cs="宋体"/>
          <w:sz w:val="24"/>
          <w:highlight w:val="none"/>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供应商在投标报价时应根据磋商文件要求并自行踏勘现场，在投标报价时应充分考虑项目实施期间的各类风险并计入报价中，结算时单价不再调整。采购人不组织供应商踏勘现场，由供应商自行对现场和周围环境进行勘察。供应商踏勘现场发生的费用自理并自行负责在踏勘现场中所发生的人员伤亡和财产损失。</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rPr>
          <w:rFonts w:hint="eastAsia" w:ascii="宋体" w:hAnsi="宋体" w:eastAsia="宋体" w:cs="宋体"/>
          <w:sz w:val="24"/>
          <w:highlight w:val="none"/>
          <w:lang w:val="en-US" w:eastAsia="zh-CN"/>
        </w:rPr>
      </w:r>
      <w:r/>
    </w:p>
    <w:p>
      <w:pPr>
        <w:pStyle w:val="663"/>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Pr>
          <w:rFonts w:hint="eastAsia" w:ascii="宋体" w:hAnsi="宋体" w:eastAsia="宋体" w:cs="宋体"/>
          <w:b/>
          <w:bCs/>
          <w:sz w:val="32"/>
          <w:szCs w:val="32"/>
          <w:highlight w:val="none"/>
          <w:lang w:val="en-US" w:eastAsia="zh-CN"/>
        </w:rPr>
      </w:r>
      <w:r/>
    </w:p>
    <w:p>
      <w:pPr>
        <w:pStyle w:val="680"/>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680"/>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rPr>
          <w:rFonts w:hint="eastAsia" w:ascii="宋体" w:hAnsi="宋体" w:eastAsia="宋体" w:cs="宋体"/>
          <w:sz w:val="44"/>
          <w:szCs w:val="44"/>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3"/>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rPr>
          <w:rFonts w:hint="eastAsia" w:ascii="宋体" w:hAnsi="宋体" w:eastAsia="宋体" w:cs="宋体"/>
          <w:b/>
          <w:bCs/>
          <w:sz w:val="36"/>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428"/>
        <w:keepLines w:val="0"/>
        <w:keepNext w:val="0"/>
        <w:rPr>
          <w:rFonts w:ascii="宋体" w:hAnsi="宋体" w:eastAsia="宋体" w:cs="宋体"/>
          <w:b/>
          <w:sz w:val="36"/>
          <w:szCs w:val="24"/>
          <w:highlight w:val="none"/>
          <w:lang w:val="en-US" w:eastAsia="zh-CN"/>
        </w:rPr>
      </w:pPr>
      <w:r>
        <w:rPr>
          <w:rFonts w:hint="eastAsia" w:hAnsi="宋体" w:eastAsia="宋体" w:cs="宋体"/>
          <w:b/>
          <w:sz w:val="36"/>
          <w:szCs w:val="24"/>
          <w:highlight w:val="none"/>
          <w:lang w:val="en-US" w:eastAsia="zh-CN"/>
        </w:rPr>
        <w:t xml:space="preserve">采 购 包：1/2</w:t>
      </w:r>
      <w:r>
        <w:rPr>
          <w:rFonts w:ascii="宋体" w:hAnsi="宋体" w:eastAsia="宋体" w:cs="宋体"/>
          <w:b/>
          <w:sz w:val="36"/>
          <w:szCs w:val="24"/>
          <w:highlight w:val="none"/>
          <w:lang w:val="en-US" w:eastAsia="zh-CN"/>
        </w:rPr>
      </w:r>
      <w:r/>
    </w:p>
    <w:p>
      <w:pPr>
        <w:pStyle w:val="680"/>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680"/>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rPr>
          <w:rFonts w:hint="eastAsia" w:ascii="宋体" w:hAnsi="宋体" w:eastAsia="宋体" w:cs="宋体"/>
          <w:b/>
          <w:sz w:val="36"/>
          <w:szCs w:val="24"/>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rPr>
          <w:rFonts w:hint="eastAsia" w:ascii="宋体" w:hAnsi="宋体" w:eastAsia="宋体" w:cs="宋体"/>
          <w:b/>
          <w:bCs/>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rPr>
          <w:rFonts w:hint="eastAsia" w:ascii="宋体" w:hAnsi="宋体" w:eastAsia="宋体" w:cs="宋体"/>
          <w:b/>
          <w:sz w:val="32"/>
          <w:highlight w:val="none"/>
        </w:rPr>
      </w:r>
      <w:r/>
    </w:p>
    <w:p>
      <w:pPr>
        <w:pStyle w:val="663"/>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92"/>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r>
      <w:r/>
    </w:p>
    <w:p>
      <w:pPr>
        <w:pStyle w:val="663"/>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rPr>
          <w:rFonts w:hint="eastAsia" w:ascii="宋体" w:hAnsi="宋体" w:eastAsia="宋体" w:cs="宋体"/>
          <w:b/>
          <w:bCs/>
          <w:color w:val="000000"/>
          <w:sz w:val="24"/>
          <w:highlight w:val="none"/>
        </w:rPr>
      </w:r>
      <w:r/>
    </w:p>
    <w:p>
      <w:pPr>
        <w:pStyle w:val="663"/>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32"/>
          <w:szCs w:val="32"/>
          <w:highlight w:val="none"/>
        </w:rPr>
      </w:r>
      <w:r/>
    </w:p>
    <w:p>
      <w:pPr>
        <w:pStyle w:val="675"/>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p>
      <w:pPr>
        <w:pStyle w:val="734"/>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采购包1/采购包2 </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rPr>
        <w:t xml:space="preserve">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rPr>
        <w:t xml:space="preserve">商品有机肥料</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rPr>
          <w:rFonts w:hint="eastAsia" w:ascii="宋体" w:hAnsi="宋体" w:eastAsia="宋体" w:cs="宋体"/>
          <w:sz w:val="24"/>
          <w:szCs w:val="24"/>
          <w:highlight w:val="none"/>
        </w:rPr>
      </w:r>
      <w:r/>
    </w:p>
    <w:p>
      <w:pPr>
        <w:pStyle w:val="663"/>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34"/>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663"/>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0"/>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663"/>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rPr>
          <w:rFonts w:hint="eastAsia" w:ascii="宋体" w:hAnsi="宋体" w:eastAsia="宋体" w:cs="宋体"/>
          <w:b/>
          <w:bCs/>
          <w:spacing w:val="20"/>
          <w:sz w:val="32"/>
          <w:szCs w:val="32"/>
          <w:highlight w:val="none"/>
        </w:rPr>
      </w:r>
      <w:r/>
    </w:p>
    <w:tbl>
      <w:tblPr>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rPr>
                <w:rFonts w:hint="eastAsia" w:ascii="宋体" w:hAnsi="宋体" w:eastAsia="宋体" w:cs="宋体"/>
                <w:sz w:val="24"/>
                <w:highlight w:val="none"/>
                <w:lang w:val="en-US" w:eastAsia="zh-CN"/>
              </w:rPr>
              <w:t xml:space="preserve">-采购包1/采购包2</w:t>
            </w:r>
            <w:r>
              <w:rPr>
                <w:rFonts w:ascii="宋体" w:hAnsi="宋体" w:eastAsia="宋体" w:cs="宋体"/>
                <w:sz w:val="24"/>
                <w:highlight w:val="none"/>
                <w:lang w:val="en-US" w:eastAsia="zh-CN"/>
              </w:rPr>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eastAsia="宋体" w:cs="宋体"/>
                <w:sz w:val="24"/>
                <w:highlight w:val="none"/>
                <w:lang w:val="zh-CN"/>
              </w:rPr>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rPr>
                <w:rFonts w:hint="eastAsia" w:ascii="宋体" w:hAnsi="宋体" w:eastAsia="宋体" w:cs="宋体"/>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rPr>
                <w:rFonts w:hint="eastAsia" w:ascii="宋体" w:hAnsi="宋体" w:eastAsia="宋体" w:cs="宋体"/>
                <w:sz w:val="24"/>
                <w:highlight w:val="none"/>
                <w:lang w:val="zh-CN"/>
              </w:rPr>
            </w:r>
            <w:r/>
          </w:p>
        </w:tc>
      </w:tr>
    </w:tbl>
    <w:p>
      <w:pPr>
        <w:pStyle w:val="663"/>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663"/>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5"/>
        <w:ind w:right="0"/>
        <w:keepLines w:val="0"/>
        <w:keepNext w:val="0"/>
        <w:tabs>
          <w:tab w:val="center" w:pos="4153" w:leader="none"/>
          <w:tab w:val="right" w:pos="8306" w:leader="none"/>
        </w:tabs>
        <w:rPr>
          <w:rFonts w:hint="eastAsia" w:ascii="宋体" w:hAnsi="宋体" w:eastAsia="宋体" w:cs="宋体"/>
          <w:highlight w:val="none"/>
        </w:rPr>
      </w:pPr>
      <w:r>
        <w:rPr>
          <w:rFonts w:hint="eastAsia" w:ascii="宋体" w:hAnsi="宋体" w:eastAsia="宋体" w:cs="宋体"/>
          <w:highlight w:val="none"/>
        </w:rPr>
      </w:r>
      <w:r/>
    </w:p>
    <w:p>
      <w:pPr>
        <w:pStyle w:val="663"/>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36924766"/>
      <w:r/>
      <w:bookmarkStart w:id="36" w:name="_Toc157775459"/>
      <w:r>
        <w:rPr>
          <w:rFonts w:hint="eastAsia" w:ascii="宋体" w:hAnsi="宋体" w:eastAsia="宋体" w:cs="宋体"/>
          <w:sz w:val="24"/>
          <w:highlight w:val="none"/>
        </w:rPr>
      </w:r>
      <w:r/>
    </w:p>
    <w:p>
      <w:pPr>
        <w:pStyle w:val="663"/>
        <w:ind w:right="0" w:firstLine="3408"/>
        <w:keepLines w:val="0"/>
        <w:keepNext w:val="0"/>
        <w:spacing w:line="440" w:lineRule="exact"/>
        <w:rPr>
          <w:rFonts w:hint="eastAsia" w:ascii="宋体" w:hAnsi="宋体" w:eastAsia="宋体" w:cs="宋体"/>
          <w:b/>
          <w:bCs/>
          <w:spacing w:val="20"/>
          <w:sz w:val="32"/>
          <w:szCs w:val="32"/>
          <w:highlight w:val="none"/>
        </w:rPr>
      </w:pPr>
      <w:r/>
      <w:bookmarkEnd w:id="35"/>
      <w:r/>
      <w:bookmarkEnd w:id="36"/>
      <w:r>
        <w:rPr>
          <w:rFonts w:hint="eastAsia" w:ascii="宋体" w:hAnsi="宋体" w:eastAsia="宋体" w:cs="宋体"/>
          <w:b/>
          <w:bCs/>
          <w:spacing w:val="20"/>
          <w:sz w:val="32"/>
          <w:szCs w:val="32"/>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rPr>
          <w:rFonts w:hint="eastAsia" w:ascii="宋体" w:hAnsi="宋体" w:eastAsia="宋体" w:cs="宋体"/>
          <w:b/>
          <w:bCs/>
          <w:spacing w:val="20"/>
          <w:sz w:val="32"/>
          <w:szCs w:val="32"/>
          <w:highlight w:val="none"/>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采购包1</w:t>
      </w:r>
      <w:r>
        <w:rPr>
          <w:rFonts w:hint="eastAsia" w:ascii="宋体" w:hAnsi="宋体" w:eastAsia="宋体" w:cs="宋体"/>
          <w:b/>
          <w:bCs/>
          <w:sz w:val="24"/>
          <w:szCs w:val="24"/>
          <w:u w:val="none"/>
          <w:lang w:val="en-US" w:eastAsia="zh-CN"/>
        </w:rPr>
      </w:r>
      <w:r/>
    </w:p>
    <w:tbl>
      <w:tblPr>
        <w:tblStyle w:val="694"/>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34"/>
        <w:gridCol w:w="2061"/>
        <w:gridCol w:w="813"/>
        <w:gridCol w:w="789"/>
        <w:gridCol w:w="1068"/>
        <w:gridCol w:w="1261"/>
        <w:gridCol w:w="1261"/>
      </w:tblGrid>
      <w:tr>
        <w:trPr>
          <w:trHeight w:val="587"/>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hint="eastAsia" w:ascii="宋体" w:hAnsi="宋体" w:eastAsia="宋体" w:cs="宋体"/>
                <w:b/>
                <w:bCs/>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bidi="ar"/>
              </w:rPr>
            </w:r>
            <w:r/>
          </w:p>
        </w:tc>
        <w:tc>
          <w:tcPr>
            <w:tcW w:w="1068"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消防头盔（半盔）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消防腰斧</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8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3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消防员抢险救援防护服（夏季）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lang w:val="en-US" w:eastAsia="zh-CN"/>
              </w:rPr>
              <w:t xml:space="preserve">13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消防员抢险救援防护服（冬季）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消防护目镜</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消防员护膝护肘</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消防过滤式自救呼吸器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消防员隔热防护服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消防员避火防护服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化学防护手套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消防员降温背心</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消防全身式安全吊带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消防员防蜂服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消防轻型安全绳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消防通用安全绳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消防防坠落辅助部件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手提式强光照明灯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numPr>
                <w:ilvl w:val="0"/>
                <w:numId w:val="0"/>
              </w:numPr>
              <w:ind w:left="0" w:firstLine="0"/>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救生抛投器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激光测距仪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可燃气体检测仪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中压分水器</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三</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二</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39</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异型异径接口</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消防员湿式水域救援防护服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41</w:t>
            </w:r>
            <w:r>
              <w:rPr>
                <w:rFonts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消防员干式水域救援防护服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9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激流救生衣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90"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消防员水域救援绳刀</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牛尾绳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示位灯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水域救援抛绳包</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中队级双光无人机</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自保多功能水枪</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液压开门器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舷外机</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舟艇</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艘</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二级化学防护服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止坠器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安全钩</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短连接</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IDS下降器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墙角保护器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可调牛尾</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绳索保护垫</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绳索保护器滑轮组</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警戒带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锥型事故标志柱</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危险警示牌</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电台</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快速攻击炮</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76</w:t>
            </w:r>
            <w:r>
              <w:rPr>
                <w:rFonts w:ascii="宋体" w:hAnsi="宋体" w:eastAsia="宋体" w:cs="宋体"/>
                <w:b/>
                <w:bCs/>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6"/>
            <w:tcW w:w="7253" w:type="dxa"/>
            <w:vAlign w:val="center"/>
            <w:textDirection w:val="lrTb"/>
            <w:noWrap w:val="false"/>
          </w:tcPr>
          <w:p>
            <w:pPr>
              <w:pStyle w:val="663"/>
              <w:jc w:val="left"/>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ascii="宋体" w:hAnsi="宋体" w:eastAsia="宋体" w:cs="宋体"/>
                <w:b/>
                <w:bCs/>
                <w:i w:val="0"/>
                <w:iCs w:val="0"/>
                <w:color w:val="000000"/>
                <w:sz w:val="22"/>
                <w:szCs w:val="22"/>
                <w:u w:val="none"/>
                <w:lang w:val="en-US" w:eastAsia="zh-CN" w:bidi="ar"/>
              </w:rPr>
            </w:r>
            <w:r/>
          </w:p>
        </w:tc>
      </w:tr>
      <w:tr>
        <w:trPr>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采购包2</w:t>
      </w:r>
      <w:r>
        <w:rPr>
          <w:rFonts w:ascii="宋体" w:hAnsi="宋体" w:eastAsia="宋体" w:cs="宋体"/>
          <w:b/>
          <w:bCs/>
          <w:sz w:val="24"/>
          <w:szCs w:val="24"/>
          <w:u w:val="none"/>
          <w:lang w:val="en-US" w:eastAsia="zh-CN"/>
        </w:rPr>
      </w:r>
      <w:r/>
    </w:p>
    <w:tbl>
      <w:tblPr>
        <w:tblStyle w:val="694"/>
        <w:tblW w:w="99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040"/>
        <w:gridCol w:w="2055"/>
        <w:gridCol w:w="795"/>
        <w:gridCol w:w="795"/>
        <w:gridCol w:w="1080"/>
        <w:gridCol w:w="1260"/>
        <w:gridCol w:w="1229"/>
        <w:gridCol w:w="15"/>
      </w:tblGrid>
      <w:tr>
        <w:trPr>
          <w:trHeight w:val="587"/>
        </w:trPr>
        <w:tc>
          <w:tcPr>
            <w:tcW w:w="70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i w:val="0"/>
                <w:iCs w:val="0"/>
                <w:color w:val="000000"/>
                <w:sz w:val="22"/>
                <w:szCs w:val="22"/>
                <w:u w:val="none"/>
                <w:lang w:val="en-US" w:eastAsia="zh-CN" w:bidi="ar"/>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ascii="宋体" w:hAnsi="宋体" w:eastAsia="宋体" w:cs="宋体"/>
                <w:b/>
                <w:bCs/>
                <w:i w:val="0"/>
                <w:iCs w:val="0"/>
                <w:color w:val="000000"/>
                <w:sz w:val="22"/>
                <w:szCs w:val="22"/>
                <w:u w:val="none"/>
                <w:lang w:val="en-US" w:eastAsia="zh-CN" w:bidi="ar"/>
              </w:rPr>
            </w:r>
            <w:r/>
          </w:p>
        </w:tc>
        <w:tc>
          <w:tcPr>
            <w:tcW w:w="108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gridSpan w:val="2"/>
            <w:tcW w:w="1244"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i w:val="0"/>
                <w:iCs w:val="0"/>
                <w:color w:val="000000"/>
                <w:sz w:val="22"/>
                <w:szCs w:val="22"/>
                <w:u w:val="none"/>
                <w:lang w:val="en-US" w:eastAsia="zh-CN" w:bidi="ar"/>
              </w:rPr>
            </w:r>
            <w:r/>
          </w:p>
        </w:tc>
      </w:tr>
      <w:tr>
        <w:trPr>
          <w:trHeight w:val="79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正压式空气呼吸器（6、8L）</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2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一级化学防护服</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restart"/>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eastAsia="宋体"/>
                <w:sz w:val="22"/>
                <w:szCs w:val="22"/>
                <w:vertAlign w:val="baseline"/>
              </w:rPr>
            </w:r>
            <w:r/>
          </w:p>
        </w:tc>
        <w:tc>
          <w:tcPr>
            <w:tcW w:w="2040" w:type="dxa"/>
            <w:vAlign w:val="center"/>
            <w:vMerge w:val="restart"/>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多功能消防水枪</w:t>
            </w:r>
            <w:r>
              <w:rPr>
                <w:rFonts w:eastAsia="宋体"/>
                <w:sz w:val="22"/>
                <w:szCs w:val="22"/>
                <w:vertAlign w:val="baseline"/>
              </w:rPr>
            </w:r>
            <w:r/>
          </w:p>
        </w:tc>
        <w:tc>
          <w:tcPr>
            <w:tcW w:w="2055" w:type="dxa"/>
            <w:vAlign w:val="center"/>
            <w:vMerge w:val="restart"/>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continue"/>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pPr>
            <w:r>
              <w:rPr>
                <w:rFonts w:eastAsia="宋体"/>
                <w:sz w:val="22"/>
                <w:szCs w:val="22"/>
                <w:vertAlign w:val="baseline"/>
              </w:rPr>
            </w:r>
            <w:r/>
          </w:p>
        </w:tc>
        <w:tc>
          <w:tcPr>
            <w:tcW w:w="2040" w:type="dxa"/>
            <w:vAlign w:val="center"/>
            <w:vMerge w:val="continue"/>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pPr>
            <w:r>
              <w:rPr>
                <w:rFonts w:eastAsia="宋体"/>
                <w:sz w:val="22"/>
                <w:szCs w:val="22"/>
                <w:vertAlign w:val="baseline"/>
              </w:rPr>
            </w:r>
            <w:r/>
          </w:p>
        </w:tc>
        <w:tc>
          <w:tcPr>
            <w:tcW w:w="2055" w:type="dxa"/>
            <w:vAlign w:val="center"/>
            <w:vMerge w:val="continue"/>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5G单兵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5G球机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发光通信导向绳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36</w:t>
            </w:r>
            <w:r>
              <w:rPr>
                <w:rFonts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val="off"/>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7"/>
            <w:tcW w:w="7229"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hint="eastAsia" w:ascii="宋体" w:hAnsi="宋体" w:eastAsia="宋体" w:cs="宋体"/>
                <w:b/>
                <w:bCs/>
                <w:i w:val="0"/>
                <w:iCs w:val="0"/>
                <w:color w:val="000000"/>
                <w:sz w:val="22"/>
                <w:szCs w:val="22"/>
                <w:u w:val="none"/>
                <w:lang w:val="en-US" w:eastAsia="zh-CN" w:bidi="ar"/>
              </w:rPr>
            </w:r>
            <w:r/>
          </w:p>
        </w:tc>
      </w:tr>
      <w:tr>
        <w:trPr>
          <w:gridAfter w:val="1"/>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663"/>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color w:val="ff0000"/>
          <w:sz w:val="24"/>
          <w:highlight w:val="none"/>
          <w:u w:val="single"/>
        </w:rPr>
      </w:r>
      <w:r/>
    </w:p>
    <w:p>
      <w:pPr>
        <w:pStyle w:val="663"/>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rPr>
          <w:rFonts w:hint="eastAsia" w:ascii="宋体" w:hAnsi="宋体" w:eastAsia="宋体" w:cs="宋体"/>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highlight w:val="none"/>
          <w:lang w:val="en-US" w:eastAsia="zh-CN" w:bidi="ar-SA"/>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rPr>
          <w:rFonts w:hint="eastAsia" w:ascii="宋体" w:hAnsi="宋体" w:eastAsia="宋体" w:cs="宋体"/>
          <w:b/>
          <w:bCs/>
          <w:spacing w:val="20"/>
          <w:sz w:val="32"/>
          <w:szCs w:val="32"/>
          <w:lang w:val="en-US" w:eastAsia="zh-CN" w:bidi="ar-SA"/>
        </w:rPr>
      </w:r>
      <w:r/>
    </w:p>
    <w:p>
      <w:pPr>
        <w:pStyle w:val="663"/>
        <w:ind w:right="0"/>
        <w:jc w:val="left"/>
        <w:keepLines w:val="0"/>
        <w:keepNext w:val="0"/>
        <w:spacing w:line="56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c>
          <w:tcPr>
            <w:tcW w:w="8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352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rPr>
                <w:rFonts w:hint="eastAsia" w:ascii="宋体" w:hAnsi="宋体" w:eastAsia="宋体" w:cs="宋体"/>
                <w:sz w:val="24"/>
              </w:rPr>
            </w:r>
            <w:r/>
          </w:p>
        </w:tc>
        <w:tc>
          <w:tcPr>
            <w:tcW w:w="35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rPr>
                <w:rFonts w:hint="eastAsia" w:ascii="宋体" w:hAnsi="宋体" w:eastAsia="宋体" w:cs="宋体"/>
                <w:sz w:val="24"/>
              </w:rPr>
            </w:r>
            <w:r/>
          </w:p>
        </w:tc>
        <w:tc>
          <w:tcPr>
            <w:tcW w:w="90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rPr>
                <w:rFonts w:hint="eastAsia" w:ascii="宋体" w:hAnsi="宋体" w:eastAsia="宋体" w:cs="宋体"/>
                <w:sz w:val="24"/>
              </w:rPr>
            </w:r>
            <w:r/>
          </w:p>
        </w:tc>
        <w:tc>
          <w:tcPr>
            <w:tcW w:w="97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bl>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 （1）此表为表样，行数可自行添加，但表式不变。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（3）投标人必须仔细阅读本招标文件第五章中所有技术规范条款和相关功能要求，并将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rPr>
          <w:rFonts w:hint="eastAsia" w:ascii="宋体" w:hAnsi="宋体" w:eastAsia="宋体" w:cs="宋体"/>
          <w:b/>
          <w:sz w:val="32"/>
          <w:szCs w:val="32"/>
          <w:highlight w:val="none"/>
        </w:rPr>
      </w:r>
      <w:r/>
    </w:p>
    <w:p>
      <w:pPr>
        <w:pStyle w:val="782"/>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680"/>
        <w:ind w:right="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663"/>
        <w:ind w:right="0"/>
        <w:jc w:val="left"/>
        <w:keepLines w:val="0"/>
        <w:keepNext w:val="0"/>
        <w:pageBreakBefore/>
        <w:spacing w:line="520" w:lineRule="exact"/>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rPr>
          <w:rFonts w:hint="eastAsia" w:ascii="宋体" w:hAnsi="宋体" w:eastAsia="宋体" w:cs="宋体"/>
          <w:b/>
          <w:bCs/>
          <w:sz w:val="32"/>
          <w:szCs w:val="32"/>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663"/>
        <w:numPr>
          <w:ilvl w:val="0"/>
          <w:numId w:val="0"/>
        </w:numPr>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sz w:val="24"/>
          <w:highlight w:val="none"/>
        </w:rPr>
      </w:r>
      <w:r/>
    </w:p>
    <w:p>
      <w:pPr>
        <w:pStyle w:val="663"/>
        <w:ind w:right="0"/>
        <w:jc w:val="left"/>
        <w:keepLines w:val="0"/>
        <w:keepNext w:val="0"/>
        <w:pageBreakBefore/>
        <w:spacing w:line="52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rPr>
      </w:r>
      <w:r/>
    </w:p>
    <w:p>
      <w:pPr>
        <w:pStyle w:val="663"/>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rPr>
          <w:rFonts w:hint="eastAsia" w:ascii="宋体" w:hAnsi="宋体" w:eastAsia="宋体" w:cs="宋体"/>
          <w:b/>
          <w:sz w:val="24"/>
          <w:szCs w:val="24"/>
          <w:highlight w:val="none"/>
        </w:rPr>
      </w:r>
      <w:r/>
    </w:p>
    <w:p>
      <w:pPr>
        <w:pStyle w:val="663"/>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63"/>
        <w:ind w:right="0" w:firstLine="2891"/>
        <w:keepLines w:val="0"/>
        <w:keepNext w:val="0"/>
        <w:spacing w:line="640" w:lineRule="exact"/>
        <w:rPr>
          <w:rFonts w:hint="eastAsia" w:ascii="宋体" w:hAnsi="宋体" w:eastAsia="宋体" w:cs="宋体"/>
          <w:b/>
          <w:bCs/>
          <w:sz w:val="32"/>
          <w:szCs w:val="32"/>
          <w:highlight w:val="none"/>
          <w:lang w:val="zh-CN"/>
        </w:rPr>
      </w:pPr>
      <w:r/>
      <w:bookmarkEnd w:id="37"/>
      <w:r>
        <w:rPr>
          <w:rFonts w:hint="eastAsia" w:ascii="宋体" w:hAnsi="宋体" w:eastAsia="宋体" w:cs="宋体"/>
          <w:b/>
          <w:bCs/>
          <w:sz w:val="32"/>
          <w:szCs w:val="32"/>
          <w:highlight w:val="none"/>
          <w:lang w:val="zh-CN"/>
        </w:rPr>
        <w:t xml:space="preserve">法定代表人资格证明</w:t>
      </w:r>
      <w:r>
        <w:rPr>
          <w:rFonts w:hint="eastAsia" w:ascii="宋体" w:hAnsi="宋体" w:eastAsia="宋体" w:cs="宋体"/>
          <w:b/>
          <w:bCs/>
          <w:sz w:val="32"/>
          <w:szCs w:val="32"/>
          <w:highlight w:val="none"/>
          <w:lang w:val="zh-CN"/>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rPr>
          <w:rFonts w:hint="eastAsia" w:ascii="宋体" w:hAnsi="宋体" w:eastAsia="宋体" w:cs="宋体"/>
          <w:sz w:val="24"/>
          <w:highlight w:val="none"/>
        </w:rPr>
      </w:r>
      <w:r/>
    </w:p>
    <w:p>
      <w:pPr>
        <w:pStyle w:val="663"/>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734"/>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rPr>
          <w:rFonts w:hint="eastAsia" w:ascii="宋体" w:hAnsi="宋体" w:eastAsia="宋体" w:cs="宋体"/>
          <w:b/>
          <w:sz w:val="28"/>
          <w:szCs w:val="28"/>
          <w:highlight w:val="none"/>
        </w:rPr>
      </w:r>
      <w:r/>
    </w:p>
    <w:p>
      <w:pPr>
        <w:pStyle w:val="663"/>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rPr>
          <w:rFonts w:hint="eastAsia" w:ascii="宋体" w:hAnsi="宋体" w:eastAsia="宋体" w:cs="宋体"/>
          <w:b/>
          <w:bCs/>
          <w:sz w:val="32"/>
          <w:szCs w:val="32"/>
          <w:highlight w:val="none"/>
        </w:rPr>
      </w:r>
      <w:r/>
    </w:p>
    <w:p>
      <w:pPr>
        <w:pStyle w:val="663"/>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rPr>
          <w:rFonts w:hint="eastAsia" w:ascii="宋体" w:hAnsi="宋体" w:eastAsia="宋体" w:cs="宋体"/>
          <w:bCs/>
          <w:color w:val="000000"/>
          <w:sz w:val="24"/>
          <w:highlight w:val="none"/>
          <w:lang w:eastAsia="zh-CN"/>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rPr>
          <w:rFonts w:hint="eastAsia" w:ascii="宋体" w:hAnsi="宋体" w:eastAsia="宋体" w:cs="宋体"/>
          <w:color w:val="000000"/>
          <w:sz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470"/>
        <w:keepLines w:val="0"/>
        <w:keepNext w:val="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rPr>
          <w:rFonts w:hint="eastAsia" w:ascii="宋体" w:hAnsi="宋体" w:eastAsia="宋体" w:cs="宋体"/>
          <w:b/>
          <w:sz w:val="28"/>
          <w:szCs w:val="28"/>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85"/>
        <w:ind w:right="0"/>
        <w:jc w:val="center"/>
        <w:keepLines w:val="0"/>
        <w:keepNext w:val="0"/>
        <w:tabs>
          <w:tab w:val="center" w:pos="4153" w:leader="none"/>
          <w:tab w:val="right" w:pos="8306"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rPr>
          <w:rFonts w:hint="eastAsia" w:ascii="宋体" w:hAnsi="宋体" w:eastAsia="宋体" w:cs="宋体"/>
          <w:b/>
          <w:sz w:val="30"/>
          <w:szCs w:val="30"/>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bCs/>
          <w:sz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663"/>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r>
      <w:r/>
    </w:p>
    <w:p>
      <w:pPr>
        <w:pStyle w:val="663"/>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rPr>
          <w:rFonts w:hint="eastAsia" w:ascii="宋体" w:hAnsi="宋体" w:eastAsia="宋体" w:cs="宋体"/>
          <w:b/>
          <w:bCs/>
          <w:sz w:val="32"/>
          <w:szCs w:val="32"/>
          <w:highlight w:val="none"/>
        </w:rPr>
      </w:r>
      <w:r/>
    </w:p>
    <w:p>
      <w:pPr>
        <w:pStyle w:val="671"/>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rPr>
          <w:rFonts w:hint="eastAsia" w:ascii="宋体" w:hAnsi="宋体" w:eastAsia="宋体" w:cs="宋体"/>
          <w:bCs/>
          <w:color w:val="000000"/>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71"/>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663"/>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Pr>
          <w:rFonts w:hint="eastAsia" w:ascii="宋体" w:hAnsi="宋体" w:eastAsia="宋体" w:cs="宋体"/>
          <w:b/>
          <w:sz w:val="28"/>
          <w:szCs w:val="28"/>
          <w:highlight w:val="none"/>
        </w:rPr>
      </w:r>
      <w:r/>
    </w:p>
    <w:p>
      <w:pPr>
        <w:pStyle w:val="663"/>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Pr>
          <w:rFonts w:hint="eastAsia" w:ascii="宋体" w:hAnsi="宋体" w:eastAsia="宋体" w:cs="宋体"/>
          <w:sz w:val="32"/>
          <w:szCs w:val="32"/>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63"/>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rPr>
          <w:rFonts w:hint="eastAsia" w:ascii="宋体" w:hAnsi="宋体" w:eastAsia="宋体" w:cs="宋体"/>
          <w:sz w:val="24"/>
          <w:szCs w:val="24"/>
          <w:highlight w:val="none"/>
        </w:rPr>
      </w:r>
      <w:r/>
    </w:p>
    <w:p>
      <w:pPr>
        <w:pStyle w:val="663"/>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63"/>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pStyle w:val="663"/>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Pr>
          <w:rFonts w:hint="eastAsia" w:ascii="宋体" w:hAnsi="宋体" w:eastAsia="宋体" w:cs="宋体"/>
          <w:highlight w:val="none"/>
        </w:rPr>
      </w:r>
      <w:r/>
    </w:p>
    <w:p>
      <w:pPr>
        <w:pStyle w:val="663"/>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rPr>
          <w:rFonts w:hint="eastAsia" w:ascii="宋体" w:hAnsi="宋体" w:eastAsia="宋体" w:cs="宋体"/>
          <w:b/>
          <w:sz w:val="32"/>
          <w:szCs w:val="32"/>
          <w:highlight w:val="none"/>
        </w:rPr>
      </w:r>
      <w:r/>
    </w:p>
    <w:p>
      <w:pPr>
        <w:pStyle w:val="663"/>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sz w:val="24"/>
          <w:highlight w:val="none"/>
        </w:rPr>
      </w:r>
      <w:r/>
    </w:p>
    <w:p>
      <w:pPr>
        <w:pStyle w:val="663"/>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663"/>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pStyle w:val="663"/>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rPr>
          <w:rFonts w:hint="eastAsia" w:ascii="宋体" w:hAnsi="宋体" w:eastAsia="宋体" w:cs="宋体"/>
          <w:b/>
          <w:bCs/>
          <w:color w:val="000000"/>
          <w:sz w:val="32"/>
          <w:szCs w:val="32"/>
          <w:highlight w:val="none"/>
          <w:lang w:val="en-US" w:eastAsia="zh-CN"/>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关于符合本国产品标准的声明函（采购包号：**）</w:t>
      </w:r>
      <w:r>
        <w:rPr>
          <w:rFonts w:hint="eastAsia" w:ascii="宋体" w:hAnsi="宋体" w:eastAsia="宋体" w:cs="宋体"/>
          <w:b/>
          <w:bCs/>
          <w:color w:val="000000"/>
          <w:sz w:val="32"/>
          <w:szCs w:val="32"/>
          <w:highlight w:val="none"/>
        </w:rPr>
      </w:r>
      <w:r/>
    </w:p>
    <w:p>
      <w:pPr>
        <w:pStyle w:val="6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Style w:val="697"/>
          <w:rFonts w:hint="eastAsia" w:ascii="宋体" w:hAnsi="宋体" w:eastAsia="宋体" w:cs="宋体"/>
          <w:i w:val="0"/>
          <w:color w:val="000000"/>
          <w:sz w:val="24"/>
          <w:szCs w:val="24"/>
          <w:u w:val="single"/>
          <w:shd w:val="clear" w:color="auto" w:fill="ffffff"/>
        </w:rPr>
        <w:t xml:space="preserve">（产品名称1）</w:t>
      </w:r>
      <w:r>
        <w:rPr>
          <w:rStyle w:val="697"/>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Style w:val="697"/>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Style w:val="697"/>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Style w:val="697"/>
          <w:rFonts w:hint="eastAsia" w:ascii="宋体" w:hAnsi="宋体" w:eastAsia="宋体" w:cs="宋体"/>
          <w:i w:val="0"/>
          <w:strike/>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Style w:val="69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横线</w:t>
      </w:r>
      <w:r>
        <w:rPr>
          <w:rFonts w:hint="eastAsia" w:ascii="宋体" w:hAnsi="宋体" w:eastAsia="宋体" w:cs="宋体"/>
          <w:color w:val="000000"/>
          <w:sz w:val="24"/>
          <w:szCs w:val="24"/>
          <w:shd w:val="clear" w:color="auto" w:fill="ffffff"/>
        </w:rPr>
        <w:t xml:space="preserve">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彩云">
    <w:panose1 w:val="02010800040101010101"/>
  </w:font>
  <w:font w:name="Wingdings">
    <w:panose1 w:val="05000000000000000000"/>
  </w:font>
  <w:font w:name="Segoe Print">
    <w:panose1 w:val="02000600000000000000"/>
  </w:font>
  <w:font w:name="Tahoma">
    <w:panose1 w:val="020B0604030504040204"/>
  </w:font>
  <w:font w:name="方正仿宋简体">
    <w:panose1 w:val="020B0503020202020204"/>
  </w:font>
  <w:font w:name="Calibri">
    <w:panose1 w:val="020F050202020403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end"/>
    </w:r>
    <w:r>
      <w:rPr>
        <w:rStyle w:val="695"/>
      </w:rPr>
    </w:r>
    <w:r/>
  </w:p>
  <w:p>
    <w:pPr>
      <w:pStyle w:val="6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separate"/>
    </w:r>
    <w:r>
      <w:rPr>
        <w:rStyle w:val="695"/>
      </w:rPr>
      <w:t xml:space="preserve">20</w:t>
    </w:r>
    <w:r>
      <w:fldChar w:fldCharType="end"/>
    </w:r>
    <w:r>
      <w:rPr>
        <w:rStyle w:val="695"/>
      </w:rPr>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64"/>
      <w:isLgl w:val="false"/>
      <w:suff w:val="tab"/>
      <w:lvlText w:val="%1"/>
      <w:lvlJc w:val="left"/>
      <w:pPr>
        <w:pStyle w:val="663"/>
        <w:ind w:left="432" w:hanging="432"/>
        <w:tabs>
          <w:tab w:val="num" w:pos="432" w:leader="none"/>
        </w:tabs>
      </w:pPr>
    </w:lvl>
    <w:lvl w:ilvl="1">
      <w:start w:val="1"/>
      <w:numFmt w:val="decimal"/>
      <w:isLgl w:val="false"/>
      <w:suff w:val="tab"/>
      <w:lvlText w:val="%1.%2"/>
      <w:lvlJc w:val="left"/>
      <w:pPr>
        <w:pStyle w:val="663"/>
        <w:ind w:left="576" w:hanging="576"/>
        <w:tabs>
          <w:tab w:val="num" w:pos="576" w:leader="none"/>
        </w:tabs>
      </w:pPr>
    </w:lvl>
    <w:lvl w:ilvl="2">
      <w:start w:val="1"/>
      <w:numFmt w:val="decimal"/>
      <w:pStyle w:val="665"/>
      <w:isLgl w:val="false"/>
      <w:suff w:val="tab"/>
      <w:lvlText w:val="%1.%2.%3"/>
      <w:lvlJc w:val="left"/>
      <w:pPr>
        <w:pStyle w:val="663"/>
        <w:ind w:left="720" w:hanging="720"/>
        <w:tabs>
          <w:tab w:val="num" w:pos="720" w:leader="none"/>
        </w:tabs>
      </w:pPr>
    </w:lvl>
    <w:lvl w:ilvl="3">
      <w:start w:val="1"/>
      <w:numFmt w:val="decimal"/>
      <w:isLgl w:val="false"/>
      <w:suff w:val="tab"/>
      <w:lvlText w:val="%1.%2.%3.%4"/>
      <w:lvlJc w:val="left"/>
      <w:pPr>
        <w:pStyle w:val="663"/>
        <w:ind w:left="864" w:hanging="864"/>
        <w:tabs>
          <w:tab w:val="num" w:pos="864" w:leader="none"/>
        </w:tabs>
      </w:pPr>
    </w:lvl>
    <w:lvl w:ilvl="4">
      <w:start w:val="1"/>
      <w:numFmt w:val="decimal"/>
      <w:isLgl w:val="false"/>
      <w:suff w:val="tab"/>
      <w:lvlText w:val="%1.%2.%3.%4.%5"/>
      <w:lvlJc w:val="left"/>
      <w:pPr>
        <w:pStyle w:val="663"/>
        <w:ind w:left="1008" w:hanging="1008"/>
        <w:tabs>
          <w:tab w:val="num" w:pos="1008" w:leader="none"/>
        </w:tabs>
      </w:pPr>
    </w:lvl>
    <w:lvl w:ilvl="5">
      <w:start w:val="1"/>
      <w:numFmt w:val="decimal"/>
      <w:isLgl w:val="false"/>
      <w:suff w:val="tab"/>
      <w:lvlText w:val="%1.%2.%3.%4.%5.%6"/>
      <w:lvlJc w:val="left"/>
      <w:pPr>
        <w:pStyle w:val="663"/>
        <w:ind w:left="1152" w:hanging="1152"/>
        <w:tabs>
          <w:tab w:val="num" w:pos="1152" w:leader="none"/>
        </w:tabs>
      </w:pPr>
    </w:lvl>
    <w:lvl w:ilvl="6">
      <w:start w:val="1"/>
      <w:numFmt w:val="decimal"/>
      <w:isLgl w:val="false"/>
      <w:suff w:val="tab"/>
      <w:lvlText w:val="%1.%2.%3.%4.%5.%6.%7"/>
      <w:lvlJc w:val="left"/>
      <w:pPr>
        <w:pStyle w:val="663"/>
        <w:ind w:left="1296" w:hanging="1296"/>
        <w:tabs>
          <w:tab w:val="num" w:pos="1296" w:leader="none"/>
        </w:tabs>
      </w:pPr>
    </w:lvl>
    <w:lvl w:ilvl="7">
      <w:start w:val="1"/>
      <w:numFmt w:val="decimal"/>
      <w:isLgl w:val="false"/>
      <w:suff w:val="tab"/>
      <w:lvlText w:val="%1.%2.%3.%4.%5.%6.%7.%8"/>
      <w:lvlJc w:val="left"/>
      <w:pPr>
        <w:pStyle w:val="663"/>
        <w:ind w:left="1440" w:hanging="1440"/>
        <w:tabs>
          <w:tab w:val="num" w:pos="1440" w:leader="none"/>
        </w:tabs>
      </w:pPr>
    </w:lvl>
    <w:lvl w:ilvl="8">
      <w:start w:val="1"/>
      <w:numFmt w:val="decimal"/>
      <w:isLgl w:val="false"/>
      <w:suff w:val="tab"/>
      <w:lvlText w:val="%1.%2.%3.%4.%5.%6.%7.%8.%9"/>
      <w:lvlJc w:val="left"/>
      <w:pPr>
        <w:pStyle w:val="663"/>
        <w:ind w:left="1584" w:hanging="1584"/>
        <w:tabs>
          <w:tab w:val="num" w:pos="1584" w:leader="none"/>
        </w:tabs>
      </w:pPr>
    </w:lvl>
  </w:abstractNum>
  <w:abstractNum w:abstractNumId="5">
    <w:multiLevelType w:val="hybridMultilevel"/>
    <w:lvl w:ilvl="0">
      <w:start w:val="1"/>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3"/>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3"/>
    <w:link w:val="663"/>
    <w:qFormat/>
    <w:pPr>
      <w:jc w:val="both"/>
      <w:widowControl w:val="off"/>
    </w:pPr>
    <w:rPr>
      <w:sz w:val="21"/>
      <w:szCs w:val="24"/>
      <w:lang w:val="en-US" w:eastAsia="zh-CN" w:bidi="ar-SA"/>
    </w:rPr>
  </w:style>
  <w:style w:type="paragraph" w:styleId="664">
    <w:name w:val="标题 1"/>
    <w:basedOn w:val="663"/>
    <w:next w:val="663"/>
    <w:link w:val="663"/>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65">
    <w:name w:val="标题 3"/>
    <w:basedOn w:val="663"/>
    <w:next w:val="671"/>
    <w:link w:val="66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66">
    <w:name w:val="标题 4"/>
    <w:basedOn w:val="663"/>
    <w:next w:val="663"/>
    <w:link w:val="663"/>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667">
    <w:name w:val="标题 5"/>
    <w:basedOn w:val="663"/>
    <w:next w:val="663"/>
    <w:link w:val="663"/>
    <w:uiPriority w:val="1"/>
    <w:qFormat/>
    <w:pPr>
      <w:ind w:left="522"/>
      <w:outlineLvl w:val="4"/>
    </w:pPr>
    <w:rPr>
      <w:rFonts w:ascii="仿宋" w:hAnsi="仿宋" w:eastAsia="仿宋" w:cs="仿宋"/>
      <w:b/>
      <w:bCs/>
      <w:sz w:val="28"/>
      <w:szCs w:val="28"/>
      <w:lang w:val="zh-CN" w:eastAsia="zh-CN" w:bidi="zh-CN"/>
    </w:rPr>
  </w:style>
  <w:style w:type="paragraph" w:styleId="668">
    <w:name w:val="标题 8"/>
    <w:basedOn w:val="663"/>
    <w:next w:val="663"/>
    <w:link w:val="663"/>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669">
    <w:name w:val="默认段落字体"/>
    <w:next w:val="669"/>
    <w:link w:val="663"/>
    <w:semiHidden/>
  </w:style>
  <w:style w:type="table" w:styleId="670">
    <w:name w:val="普通表格"/>
    <w:next w:val="670"/>
    <w:link w:val="663"/>
    <w:semiHidden/>
    <w:tblPr/>
  </w:style>
  <w:style w:type="paragraph" w:styleId="671">
    <w:name w:val="正文缩进"/>
    <w:basedOn w:val="663"/>
    <w:next w:val="671"/>
    <w:link w:val="672"/>
    <w:pPr>
      <w:ind w:firstLine="420"/>
    </w:pPr>
  </w:style>
  <w:style w:type="character" w:styleId="672">
    <w:name w:val="正文缩进 Char"/>
    <w:next w:val="672"/>
    <w:link w:val="671"/>
    <w:rPr>
      <w:sz w:val="21"/>
      <w:szCs w:val="24"/>
    </w:rPr>
  </w:style>
  <w:style w:type="paragraph" w:styleId="673">
    <w:name w:val="文档结构图"/>
    <w:basedOn w:val="663"/>
    <w:next w:val="673"/>
    <w:link w:val="663"/>
    <w:semiHidden/>
    <w:pPr>
      <w:shd w:val="clear" w:color="auto" w:fill="000080"/>
    </w:pPr>
  </w:style>
  <w:style w:type="paragraph" w:styleId="674">
    <w:name w:val="正文文本 3"/>
    <w:basedOn w:val="663"/>
    <w:next w:val="674"/>
    <w:link w:val="663"/>
    <w:pPr>
      <w:jc w:val="center"/>
    </w:pPr>
    <w:rPr>
      <w:rFonts w:eastAsia="黑体"/>
      <w:sz w:val="72"/>
    </w:rPr>
  </w:style>
  <w:style w:type="paragraph" w:styleId="675">
    <w:name w:val="正文文本"/>
    <w:basedOn w:val="663"/>
    <w:next w:val="675"/>
    <w:link w:val="663"/>
    <w:pPr>
      <w:jc w:val="center"/>
    </w:pPr>
    <w:rPr>
      <w:rFonts w:eastAsia="仿宋"/>
      <w:sz w:val="28"/>
    </w:rPr>
  </w:style>
  <w:style w:type="paragraph" w:styleId="676">
    <w:name w:val="正文文本缩进"/>
    <w:basedOn w:val="663"/>
    <w:next w:val="678"/>
    <w:link w:val="677"/>
    <w:pPr>
      <w:ind w:left="420"/>
      <w:spacing w:after="120"/>
    </w:pPr>
  </w:style>
  <w:style w:type="character" w:styleId="677">
    <w:name w:val="正文文本缩进 Char"/>
    <w:next w:val="677"/>
    <w:link w:val="676"/>
    <w:rPr>
      <w:sz w:val="21"/>
      <w:szCs w:val="24"/>
    </w:rPr>
  </w:style>
  <w:style w:type="paragraph" w:styleId="678">
    <w:name w:val="寄信人地址"/>
    <w:basedOn w:val="663"/>
    <w:next w:val="678"/>
    <w:link w:val="663"/>
    <w:qFormat/>
    <w:rPr>
      <w:rFonts w:ascii="Arial" w:hAnsi="Arial" w:eastAsia="宋体" w:cs="Times New Roman"/>
    </w:rPr>
  </w:style>
  <w:style w:type="paragraph" w:styleId="679">
    <w:name w:val="文本块"/>
    <w:basedOn w:val="663"/>
    <w:next w:val="679"/>
    <w:link w:val="663"/>
    <w:pPr>
      <w:ind w:left="420" w:right="33"/>
      <w:jc w:val="left"/>
    </w:pPr>
    <w:rPr>
      <w:sz w:val="24"/>
      <w:szCs w:val="20"/>
    </w:rPr>
  </w:style>
  <w:style w:type="paragraph" w:styleId="680">
    <w:name w:val="纯文本"/>
    <w:basedOn w:val="663"/>
    <w:next w:val="680"/>
    <w:link w:val="681"/>
    <w:rPr>
      <w:rFonts w:ascii="宋体" w:hAnsi="Courier New"/>
      <w:szCs w:val="20"/>
    </w:rPr>
  </w:style>
  <w:style w:type="character" w:styleId="681">
    <w:name w:val="纯文本 Char"/>
    <w:next w:val="681"/>
    <w:link w:val="680"/>
    <w:rPr>
      <w:rFonts w:ascii="宋体" w:hAnsi="Courier New" w:eastAsia="宋体"/>
      <w:sz w:val="21"/>
      <w:lang w:val="en-US" w:eastAsia="zh-CN" w:bidi="ar-SA"/>
    </w:rPr>
  </w:style>
  <w:style w:type="paragraph" w:styleId="682">
    <w:name w:val="日期"/>
    <w:basedOn w:val="663"/>
    <w:next w:val="663"/>
    <w:link w:val="663"/>
    <w:pPr>
      <w:ind w:left="100"/>
    </w:pPr>
    <w:rPr>
      <w:rFonts w:ascii="黑体" w:eastAsia="黑体"/>
      <w:sz w:val="72"/>
    </w:rPr>
  </w:style>
  <w:style w:type="paragraph" w:styleId="683">
    <w:name w:val="正文文本缩进 2"/>
    <w:basedOn w:val="663"/>
    <w:next w:val="683"/>
    <w:link w:val="663"/>
    <w:pPr>
      <w:ind w:right="-2" w:firstLine="540"/>
      <w:tabs>
        <w:tab w:val="left" w:pos="9741" w:leader="none"/>
      </w:tabs>
    </w:pPr>
    <w:rPr>
      <w:rFonts w:eastAsia="仿宋"/>
      <w:sz w:val="28"/>
    </w:rPr>
  </w:style>
  <w:style w:type="paragraph" w:styleId="684">
    <w:name w:val="批注框文本"/>
    <w:basedOn w:val="663"/>
    <w:next w:val="684"/>
    <w:link w:val="663"/>
    <w:semiHidden/>
    <w:rPr>
      <w:sz w:val="18"/>
      <w:szCs w:val="18"/>
    </w:rPr>
  </w:style>
  <w:style w:type="paragraph" w:styleId="685">
    <w:name w:val="页脚"/>
    <w:basedOn w:val="663"/>
    <w:next w:val="685"/>
    <w:link w:val="663"/>
    <w:pPr>
      <w:jc w:val="left"/>
      <w:tabs>
        <w:tab w:val="center" w:pos="4153" w:leader="none"/>
        <w:tab w:val="right" w:pos="8306" w:leader="none"/>
      </w:tabs>
    </w:pPr>
    <w:rPr>
      <w:sz w:val="18"/>
      <w:szCs w:val="18"/>
    </w:rPr>
  </w:style>
  <w:style w:type="paragraph" w:styleId="686">
    <w:name w:val="页眉"/>
    <w:basedOn w:val="663"/>
    <w:next w:val="686"/>
    <w:link w:val="663"/>
    <w:pPr>
      <w:jc w:val="center"/>
      <w:tabs>
        <w:tab w:val="center" w:pos="4153" w:leader="none"/>
        <w:tab w:val="right" w:pos="8306" w:leader="none"/>
      </w:tabs>
      <w:pBdr>
        <w:bottom w:val="single" w:color="000000" w:sz="6" w:space="1"/>
      </w:pBdr>
    </w:pPr>
    <w:rPr>
      <w:sz w:val="18"/>
      <w:szCs w:val="18"/>
    </w:rPr>
  </w:style>
  <w:style w:type="paragraph" w:styleId="687">
    <w:name w:val="目录 1"/>
    <w:basedOn w:val="663"/>
    <w:next w:val="663"/>
    <w:link w:val="663"/>
  </w:style>
  <w:style w:type="paragraph" w:styleId="688">
    <w:name w:val="正文文本缩进 3"/>
    <w:basedOn w:val="663"/>
    <w:next w:val="688"/>
    <w:link w:val="663"/>
    <w:pPr>
      <w:ind w:firstLine="435"/>
    </w:pPr>
    <w:rPr>
      <w:rFonts w:ascii="仿宋" w:hAnsi="宋体" w:eastAsia="仿宋"/>
      <w:sz w:val="28"/>
    </w:rPr>
  </w:style>
  <w:style w:type="paragraph" w:styleId="689">
    <w:name w:val="正文文本 2"/>
    <w:basedOn w:val="663"/>
    <w:next w:val="689"/>
    <w:link w:val="663"/>
    <w:rPr>
      <w:rFonts w:ascii="仿宋" w:eastAsia="仿宋"/>
      <w:sz w:val="28"/>
    </w:rPr>
  </w:style>
  <w:style w:type="paragraph" w:styleId="690">
    <w:name w:val="普通(网站)"/>
    <w:basedOn w:val="663"/>
    <w:next w:val="690"/>
    <w:link w:val="663"/>
    <w:uiPriority w:val="99"/>
    <w:unhideWhenUsed/>
    <w:pPr>
      <w:jc w:val="left"/>
      <w:spacing w:before="100" w:beforeAutospacing="1" w:after="100" w:afterAutospacing="1"/>
    </w:pPr>
    <w:rPr>
      <w:sz w:val="24"/>
      <w:szCs w:val="20"/>
    </w:rPr>
  </w:style>
  <w:style w:type="paragraph" w:styleId="691">
    <w:name w:val="正文首行缩进"/>
    <w:basedOn w:val="675"/>
    <w:next w:val="691"/>
    <w:link w:val="663"/>
    <w:qFormat/>
    <w:pPr>
      <w:ind w:firstLine="420"/>
      <w:spacing w:after="120"/>
    </w:pPr>
    <w:rPr>
      <w:rFonts w:ascii="Times New Roman" w:hAnsi="Times New Roman" w:eastAsia="宋体"/>
      <w:sz w:val="21"/>
      <w:szCs w:val="24"/>
    </w:rPr>
  </w:style>
  <w:style w:type="paragraph" w:styleId="692">
    <w:name w:val="正文首行缩进 2"/>
    <w:basedOn w:val="676"/>
    <w:next w:val="663"/>
    <w:link w:val="693"/>
    <w:pPr>
      <w:ind w:firstLine="420"/>
    </w:pPr>
  </w:style>
  <w:style w:type="character" w:styleId="693">
    <w:name w:val="正文首行缩进 2 Char"/>
    <w:basedOn w:val="677"/>
    <w:next w:val="693"/>
    <w:link w:val="692"/>
  </w:style>
  <w:style w:type="table" w:styleId="694">
    <w:name w:val="网格型"/>
    <w:basedOn w:val="670"/>
    <w:next w:val="694"/>
    <w:link w:val="66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5">
    <w:name w:val="页码"/>
    <w:next w:val="695"/>
    <w:link w:val="663"/>
  </w:style>
  <w:style w:type="character" w:styleId="696">
    <w:name w:val="已访问的超链接"/>
    <w:next w:val="696"/>
    <w:link w:val="663"/>
    <w:rPr>
      <w:color w:val="800080"/>
      <w:u w:val="single"/>
    </w:rPr>
  </w:style>
  <w:style w:type="character" w:styleId="697">
    <w:name w:val="强调"/>
    <w:next w:val="697"/>
    <w:link w:val="663"/>
    <w:qFormat/>
    <w:rPr>
      <w:i/>
    </w:rPr>
  </w:style>
  <w:style w:type="character" w:styleId="698">
    <w:name w:val="超链接"/>
    <w:basedOn w:val="669"/>
    <w:next w:val="698"/>
    <w:link w:val="663"/>
    <w:rPr>
      <w:color w:val="0000ff"/>
      <w:u w:val="single"/>
    </w:rPr>
  </w:style>
  <w:style w:type="paragraph" w:styleId="699">
    <w:name w:val="标题 31"/>
    <w:basedOn w:val="663"/>
    <w:next w:val="663"/>
    <w:link w:val="663"/>
    <w:uiPriority w:val="9"/>
    <w:qFormat/>
    <w:pPr>
      <w:keepLines/>
      <w:keepNext/>
      <w:spacing w:before="260" w:after="260" w:line="413" w:lineRule="auto"/>
      <w:outlineLvl w:val="2"/>
    </w:pPr>
    <w:rPr>
      <w:rFonts w:ascii="Arial" w:hAnsi="Arial"/>
      <w:b/>
      <w:sz w:val="32"/>
      <w:szCs w:val="20"/>
    </w:rPr>
  </w:style>
  <w:style w:type="paragraph" w:styleId="700">
    <w:name w:val="正文1"/>
    <w:basedOn w:val="663"/>
    <w:next w:val="663"/>
    <w:link w:val="663"/>
    <w:qFormat/>
    <w:pPr>
      <w:contextualSpacing/>
      <w:ind w:firstLine="200"/>
      <w:jc w:val="left"/>
      <w:spacing w:before="120" w:after="120"/>
      <w:widowControl/>
    </w:pPr>
    <w:rPr>
      <w:rFonts w:ascii="Calibri" w:hAnsi="Calibri" w:eastAsia="仿宋" w:cs="Times New Roman"/>
      <w:szCs w:val="21"/>
    </w:rPr>
  </w:style>
  <w:style w:type="character" w:styleId="701">
    <w:name w:val="纯文本 Char1, Char Char,普通文字 Char Char,纯文本 Char Char,小 Char1"/>
    <w:next w:val="701"/>
    <w:link w:val="663"/>
    <w:rPr>
      <w:rFonts w:ascii="宋体" w:hAnsi="Courier New"/>
      <w:sz w:val="21"/>
    </w:rPr>
  </w:style>
  <w:style w:type="paragraph" w:styleId="702">
    <w:name w:val="font6"/>
    <w:basedOn w:val="663"/>
    <w:next w:val="702"/>
    <w:link w:val="663"/>
    <w:pPr>
      <w:jc w:val="left"/>
      <w:spacing w:before="100" w:beforeAutospacing="1" w:after="100" w:afterAutospacing="1"/>
      <w:widowControl/>
    </w:pPr>
    <w:rPr>
      <w:rFonts w:eastAsia="宋体"/>
      <w:sz w:val="18"/>
      <w:szCs w:val="18"/>
    </w:rPr>
  </w:style>
  <w:style w:type="paragraph" w:styleId="703">
    <w:name w:val="列出段落"/>
    <w:basedOn w:val="663"/>
    <w:next w:val="703"/>
    <w:link w:val="663"/>
    <w:uiPriority w:val="99"/>
    <w:qFormat/>
    <w:pPr>
      <w:ind w:firstLine="420"/>
    </w:pPr>
  </w:style>
  <w:style w:type="paragraph" w:styleId="704">
    <w:name w:val="xl43"/>
    <w:basedOn w:val="663"/>
    <w:next w:val="704"/>
    <w:link w:val="663"/>
    <w:pPr>
      <w:jc w:val="left"/>
      <w:spacing w:before="100" w:beforeAutospacing="1" w:after="100" w:afterAutospacing="1"/>
      <w:widowControl/>
    </w:pPr>
    <w:rPr>
      <w:rFonts w:ascii="宋体" w:hAnsi="宋体" w:eastAsia="宋体"/>
      <w:sz w:val="24"/>
    </w:rPr>
  </w:style>
  <w:style w:type="paragraph" w:styleId="705">
    <w:name w:val="xl68"/>
    <w:basedOn w:val="663"/>
    <w:next w:val="705"/>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06">
    <w:name w:val="xl53"/>
    <w:basedOn w:val="663"/>
    <w:next w:val="706"/>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707">
    <w:name w:val="xl29"/>
    <w:basedOn w:val="663"/>
    <w:next w:val="707"/>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08">
    <w:name w:val="xl46"/>
    <w:basedOn w:val="663"/>
    <w:next w:val="708"/>
    <w:link w:val="663"/>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09">
    <w:name w:val="xl39"/>
    <w:basedOn w:val="663"/>
    <w:next w:val="709"/>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10">
    <w:name w:val="xl59"/>
    <w:basedOn w:val="663"/>
    <w:next w:val="710"/>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11">
    <w:name w:val="xl33"/>
    <w:basedOn w:val="663"/>
    <w:next w:val="711"/>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12">
    <w:name w:val="xl86"/>
    <w:basedOn w:val="663"/>
    <w:next w:val="712"/>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3">
    <w:name w:val="font7"/>
    <w:basedOn w:val="663"/>
    <w:next w:val="713"/>
    <w:link w:val="663"/>
    <w:pPr>
      <w:jc w:val="left"/>
      <w:spacing w:before="100" w:beforeAutospacing="1" w:after="100" w:afterAutospacing="1"/>
      <w:widowControl/>
    </w:pPr>
    <w:rPr>
      <w:rFonts w:eastAsia="宋体"/>
      <w:sz w:val="18"/>
      <w:szCs w:val="18"/>
    </w:rPr>
  </w:style>
  <w:style w:type="paragraph" w:styleId="714">
    <w:name w:val="Char Char Char Char"/>
    <w:basedOn w:val="673"/>
    <w:next w:val="714"/>
    <w:link w:val="663"/>
    <w:pPr>
      <w:spacing w:line="360" w:lineRule="auto"/>
    </w:pPr>
    <w:rPr>
      <w:rFonts w:ascii="Tahoma" w:hAnsi="Tahoma"/>
      <w:sz w:val="24"/>
    </w:rPr>
  </w:style>
  <w:style w:type="paragraph" w:styleId="715">
    <w:name w:val="xl67"/>
    <w:basedOn w:val="663"/>
    <w:next w:val="715"/>
    <w:link w:val="6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16">
    <w:name w:val="xl45"/>
    <w:basedOn w:val="663"/>
    <w:next w:val="716"/>
    <w:link w:val="663"/>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717">
    <w:name w:val="xl72"/>
    <w:basedOn w:val="663"/>
    <w:next w:val="71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8">
    <w:name w:val="标书正文格式"/>
    <w:next w:val="718"/>
    <w:link w:val="663"/>
    <w:pPr>
      <w:ind w:firstLine="480"/>
      <w:jc w:val="both"/>
      <w:spacing w:line="360" w:lineRule="auto"/>
    </w:pPr>
    <w:rPr>
      <w:rFonts w:ascii="宋体" w:hAnsi="宋体"/>
      <w:sz w:val="24"/>
      <w:szCs w:val="24"/>
      <w:lang w:val="en-US" w:eastAsia="zh-CN" w:bidi="ar-SA"/>
    </w:rPr>
  </w:style>
  <w:style w:type="paragraph" w:styleId="719">
    <w:name w:val="xl60"/>
    <w:basedOn w:val="663"/>
    <w:next w:val="719"/>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20">
    <w:name w:val="xl84"/>
    <w:basedOn w:val="663"/>
    <w:next w:val="720"/>
    <w:link w:val="66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21">
    <w:name w:val="xl57"/>
    <w:basedOn w:val="663"/>
    <w:next w:val="721"/>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722">
    <w:name w:val="xl69"/>
    <w:basedOn w:val="663"/>
    <w:next w:val="722"/>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3">
    <w:name w:val="font12"/>
    <w:basedOn w:val="663"/>
    <w:next w:val="723"/>
    <w:link w:val="663"/>
    <w:pPr>
      <w:jc w:val="left"/>
      <w:spacing w:before="100" w:beforeAutospacing="1" w:after="100" w:afterAutospacing="1"/>
      <w:widowControl/>
    </w:pPr>
    <w:rPr>
      <w:rFonts w:eastAsia="宋体"/>
      <w:color w:val="333333"/>
      <w:sz w:val="18"/>
      <w:szCs w:val="18"/>
    </w:rPr>
  </w:style>
  <w:style w:type="paragraph" w:styleId="724">
    <w:name w:val="font8"/>
    <w:basedOn w:val="663"/>
    <w:next w:val="724"/>
    <w:link w:val="663"/>
    <w:pPr>
      <w:jc w:val="left"/>
      <w:spacing w:before="100" w:beforeAutospacing="1" w:after="100" w:afterAutospacing="1"/>
      <w:widowControl/>
    </w:pPr>
    <w:rPr>
      <w:rFonts w:eastAsia="宋体"/>
      <w:sz w:val="18"/>
      <w:szCs w:val="18"/>
    </w:rPr>
  </w:style>
  <w:style w:type="paragraph" w:styleId="725">
    <w:name w:val="xl47"/>
    <w:basedOn w:val="663"/>
    <w:next w:val="72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726">
    <w:name w:val=" Char Char Char Char Char Char Char Char"/>
    <w:basedOn w:val="663"/>
    <w:next w:val="726"/>
    <w:link w:val="663"/>
    <w:pPr>
      <w:jc w:val="left"/>
      <w:spacing w:after="160" w:line="240" w:lineRule="exact"/>
      <w:widowControl/>
    </w:pPr>
    <w:rPr>
      <w:rFonts w:ascii="Verdana" w:hAnsi="Verdana"/>
      <w:sz w:val="20"/>
      <w:szCs w:val="20"/>
      <w:lang w:eastAsia="en-US"/>
    </w:rPr>
  </w:style>
  <w:style w:type="paragraph" w:styleId="727">
    <w:name w:val="xl74"/>
    <w:basedOn w:val="663"/>
    <w:next w:val="727"/>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8">
    <w:name w:val="xl77"/>
    <w:basedOn w:val="663"/>
    <w:next w:val="728"/>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729">
    <w:name w:val="xl71"/>
    <w:basedOn w:val="663"/>
    <w:next w:val="729"/>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0">
    <w:name w:val="xl75"/>
    <w:basedOn w:val="663"/>
    <w:next w:val="730"/>
    <w:link w:val="663"/>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731">
    <w:name w:val="xl38"/>
    <w:basedOn w:val="663"/>
    <w:next w:val="731"/>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32">
    <w:name w:val="xl51"/>
    <w:basedOn w:val="663"/>
    <w:next w:val="732"/>
    <w:link w:val="663"/>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733">
    <w:name w:val="xl78"/>
    <w:basedOn w:val="663"/>
    <w:next w:val="733"/>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734">
    <w:name w:val="普通正文"/>
    <w:basedOn w:val="663"/>
    <w:next w:val="734"/>
    <w:link w:val="663"/>
    <w:pPr>
      <w:ind w:firstLine="480"/>
      <w:jc w:val="left"/>
      <w:spacing w:before="120" w:after="120" w:line="360" w:lineRule="auto"/>
    </w:pPr>
    <w:rPr>
      <w:rFonts w:ascii="Arial" w:hAnsi="Arial"/>
      <w:sz w:val="24"/>
    </w:rPr>
  </w:style>
  <w:style w:type="paragraph" w:styleId="735">
    <w:name w:val="Char"/>
    <w:basedOn w:val="663"/>
    <w:next w:val="735"/>
    <w:link w:val="663"/>
    <w:pPr>
      <w:tabs>
        <w:tab w:val="left" w:pos="360" w:leader="none"/>
      </w:tabs>
    </w:pPr>
    <w:rPr>
      <w:sz w:val="24"/>
    </w:rPr>
  </w:style>
  <w:style w:type="paragraph" w:styleId="736">
    <w:name w:val="xl85"/>
    <w:basedOn w:val="663"/>
    <w:next w:val="736"/>
    <w:link w:val="663"/>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737">
    <w:name w:val="xl81"/>
    <w:basedOn w:val="663"/>
    <w:next w:val="73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738">
    <w:name w:val="xl56"/>
    <w:basedOn w:val="663"/>
    <w:next w:val="738"/>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9">
    <w:name w:val="xl63"/>
    <w:basedOn w:val="663"/>
    <w:next w:val="739"/>
    <w:link w:val="663"/>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740">
    <w:name w:val="font10"/>
    <w:basedOn w:val="663"/>
    <w:next w:val="740"/>
    <w:link w:val="663"/>
    <w:pPr>
      <w:jc w:val="left"/>
      <w:spacing w:before="100" w:beforeAutospacing="1" w:after="100" w:afterAutospacing="1"/>
      <w:widowControl/>
    </w:pPr>
    <w:rPr>
      <w:rFonts w:eastAsia="宋体"/>
      <w:sz w:val="18"/>
      <w:szCs w:val="18"/>
    </w:rPr>
  </w:style>
  <w:style w:type="paragraph" w:styleId="741">
    <w:name w:val="xl62"/>
    <w:basedOn w:val="663"/>
    <w:next w:val="741"/>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42">
    <w:name w:val="xl32"/>
    <w:basedOn w:val="663"/>
    <w:next w:val="742"/>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43">
    <w:name w:val="xl37"/>
    <w:basedOn w:val="663"/>
    <w:next w:val="743"/>
    <w:link w:val="663"/>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44">
    <w:name w:val="xl54"/>
    <w:basedOn w:val="663"/>
    <w:next w:val="744"/>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745">
    <w:name w:val="font11"/>
    <w:basedOn w:val="663"/>
    <w:next w:val="745"/>
    <w:link w:val="663"/>
    <w:pPr>
      <w:jc w:val="left"/>
      <w:spacing w:before="100" w:beforeAutospacing="1" w:after="100" w:afterAutospacing="1"/>
      <w:widowControl/>
    </w:pPr>
    <w:rPr>
      <w:rFonts w:hint="eastAsia" w:ascii="宋体" w:hAnsi="宋体"/>
      <w:color w:val="333333"/>
      <w:sz w:val="18"/>
      <w:szCs w:val="18"/>
    </w:rPr>
  </w:style>
  <w:style w:type="paragraph" w:styleId="746">
    <w:name w:val="xl79"/>
    <w:basedOn w:val="663"/>
    <w:next w:val="746"/>
    <w:link w:val="663"/>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747">
    <w:name w:val="xl42"/>
    <w:basedOn w:val="663"/>
    <w:next w:val="74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748">
    <w:name w:val="xl73"/>
    <w:basedOn w:val="663"/>
    <w:next w:val="748"/>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49">
    <w:name w:val="xl36"/>
    <w:basedOn w:val="663"/>
    <w:next w:val="749"/>
    <w:link w:val="663"/>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50">
    <w:name w:val="xl44"/>
    <w:basedOn w:val="663"/>
    <w:next w:val="750"/>
    <w:link w:val="663"/>
    <w:pPr>
      <w:jc w:val="right"/>
      <w:spacing w:before="100" w:beforeAutospacing="1" w:after="100" w:afterAutospacing="1"/>
      <w:widowControl/>
    </w:pPr>
    <w:rPr>
      <w:rFonts w:ascii="宋体" w:hAnsi="宋体" w:eastAsia="宋体"/>
      <w:sz w:val="24"/>
    </w:rPr>
  </w:style>
  <w:style w:type="paragraph" w:styleId="751">
    <w:name w:val="xl35"/>
    <w:basedOn w:val="663"/>
    <w:next w:val="751"/>
    <w:link w:val="663"/>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52">
    <w:name w:val=" Char Char Char Char Char Char Char Char Char Char Char Char Char"/>
    <w:basedOn w:val="663"/>
    <w:next w:val="752"/>
    <w:link w:val="663"/>
    <w:pPr>
      <w:jc w:val="left"/>
      <w:spacing w:after="160" w:line="240" w:lineRule="exact"/>
      <w:widowControl/>
    </w:pPr>
    <w:rPr>
      <w:rFonts w:ascii="Verdana" w:hAnsi="Verdana"/>
      <w:sz w:val="20"/>
      <w:szCs w:val="20"/>
      <w:lang w:eastAsia="en-US"/>
    </w:rPr>
  </w:style>
  <w:style w:type="paragraph" w:styleId="753">
    <w:name w:val="xl64"/>
    <w:basedOn w:val="663"/>
    <w:next w:val="753"/>
    <w:link w:val="663"/>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754">
    <w:name w:val="xl41"/>
    <w:basedOn w:val="663"/>
    <w:next w:val="754"/>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55">
    <w:name w:val="xl52"/>
    <w:basedOn w:val="663"/>
    <w:next w:val="755"/>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756">
    <w:name w:val="xl80"/>
    <w:basedOn w:val="663"/>
    <w:next w:val="756"/>
    <w:link w:val="663"/>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757">
    <w:name w:val="xl31"/>
    <w:basedOn w:val="663"/>
    <w:next w:val="75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58">
    <w:name w:val="xl30"/>
    <w:basedOn w:val="663"/>
    <w:next w:val="758"/>
    <w:link w:val="663"/>
    <w:pPr>
      <w:jc w:val="left"/>
      <w:spacing w:before="100" w:beforeAutospacing="1" w:after="100" w:afterAutospacing="1"/>
      <w:widowControl/>
    </w:pPr>
    <w:rPr>
      <w:rFonts w:ascii="宋体" w:hAnsi="宋体" w:eastAsia="宋体"/>
      <w:sz w:val="18"/>
      <w:szCs w:val="18"/>
    </w:rPr>
  </w:style>
  <w:style w:type="paragraph" w:styleId="759">
    <w:name w:val="Default"/>
    <w:next w:val="759"/>
    <w:link w:val="663"/>
    <w:pPr>
      <w:widowControl w:val="off"/>
    </w:pPr>
    <w:rPr>
      <w:rFonts w:ascii="仿宋" w:eastAsia="仿宋" w:cs="仿宋"/>
      <w:color w:val="000000"/>
      <w:sz w:val="24"/>
      <w:szCs w:val="24"/>
      <w:lang w:val="en-US" w:eastAsia="zh-CN" w:bidi="ar-SA"/>
    </w:rPr>
  </w:style>
  <w:style w:type="paragraph" w:styleId="760">
    <w:name w:val="xl34"/>
    <w:basedOn w:val="663"/>
    <w:next w:val="760"/>
    <w:link w:val="663"/>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61">
    <w:name w:val=" Char"/>
    <w:basedOn w:val="673"/>
    <w:next w:val="761"/>
    <w:link w:val="663"/>
    <w:pPr>
      <w:spacing w:line="360" w:lineRule="auto"/>
    </w:pPr>
    <w:rPr>
      <w:rFonts w:ascii="Tahoma" w:hAnsi="Tahoma"/>
      <w:sz w:val="24"/>
    </w:rPr>
  </w:style>
  <w:style w:type="paragraph" w:styleId="762">
    <w:name w:val="font9"/>
    <w:basedOn w:val="663"/>
    <w:next w:val="762"/>
    <w:link w:val="663"/>
    <w:pPr>
      <w:jc w:val="left"/>
      <w:spacing w:before="100" w:beforeAutospacing="1" w:after="100" w:afterAutospacing="1"/>
      <w:widowControl/>
    </w:pPr>
    <w:rPr>
      <w:rFonts w:eastAsia="宋体"/>
      <w:b/>
      <w:bCs/>
      <w:color w:val="000000"/>
      <w:sz w:val="18"/>
      <w:szCs w:val="18"/>
    </w:rPr>
  </w:style>
  <w:style w:type="paragraph" w:styleId="763">
    <w:name w:val="xl58"/>
    <w:basedOn w:val="663"/>
    <w:next w:val="763"/>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64">
    <w:name w:val="xl70"/>
    <w:basedOn w:val="663"/>
    <w:next w:val="76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65">
    <w:name w:val="xl28"/>
    <w:basedOn w:val="663"/>
    <w:next w:val="76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66">
    <w:name w:val="xl48"/>
    <w:basedOn w:val="663"/>
    <w:next w:val="766"/>
    <w:link w:val="663"/>
    <w:pPr>
      <w:jc w:val="center"/>
      <w:spacing w:before="100" w:beforeAutospacing="1" w:after="100" w:afterAutospacing="1"/>
      <w:widowControl/>
    </w:pPr>
    <w:rPr>
      <w:rFonts w:ascii="宋体" w:hAnsi="宋体" w:eastAsia="宋体"/>
      <w:sz w:val="28"/>
      <w:szCs w:val="28"/>
    </w:rPr>
  </w:style>
  <w:style w:type="paragraph" w:styleId="767">
    <w:name w:val="font5"/>
    <w:basedOn w:val="663"/>
    <w:next w:val="767"/>
    <w:link w:val="663"/>
    <w:pPr>
      <w:jc w:val="left"/>
      <w:spacing w:before="100" w:beforeAutospacing="1" w:after="100" w:afterAutospacing="1"/>
      <w:widowControl/>
    </w:pPr>
    <w:rPr>
      <w:rFonts w:hint="eastAsia" w:ascii="宋体" w:hAnsi="宋体"/>
      <w:sz w:val="18"/>
      <w:szCs w:val="18"/>
    </w:rPr>
  </w:style>
  <w:style w:type="paragraph" w:styleId="768">
    <w:name w:val="默认段落字体 Para Char Char Char Char Char Char Char Char Char1 Char Char Char Char Char Char Char"/>
    <w:basedOn w:val="673"/>
    <w:next w:val="768"/>
    <w:link w:val="663"/>
    <w:rPr>
      <w:rFonts w:ascii="Tahoma" w:hAnsi="Tahoma"/>
      <w:sz w:val="24"/>
    </w:rPr>
  </w:style>
  <w:style w:type="paragraph" w:styleId="769">
    <w:name w:val="xl66"/>
    <w:basedOn w:val="663"/>
    <w:next w:val="769"/>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0">
    <w:name w:val="font13"/>
    <w:basedOn w:val="663"/>
    <w:next w:val="770"/>
    <w:link w:val="663"/>
    <w:pPr>
      <w:jc w:val="left"/>
      <w:spacing w:before="100" w:beforeAutospacing="1" w:after="100" w:afterAutospacing="1"/>
      <w:widowControl/>
    </w:pPr>
    <w:rPr>
      <w:rFonts w:eastAsia="宋体"/>
      <w:b/>
      <w:bCs/>
      <w:sz w:val="18"/>
      <w:szCs w:val="18"/>
    </w:rPr>
  </w:style>
  <w:style w:type="paragraph" w:styleId="771">
    <w:name w:val="xl83"/>
    <w:basedOn w:val="663"/>
    <w:next w:val="771"/>
    <w:link w:val="663"/>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2">
    <w:name w:val="xl61"/>
    <w:basedOn w:val="663"/>
    <w:next w:val="772"/>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3">
    <w:name w:val="xl76"/>
    <w:basedOn w:val="663"/>
    <w:next w:val="773"/>
    <w:link w:val="663"/>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774">
    <w:name w:val="xl55"/>
    <w:basedOn w:val="663"/>
    <w:next w:val="77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75">
    <w:name w:val="xl40"/>
    <w:basedOn w:val="663"/>
    <w:next w:val="775"/>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6">
    <w:name w:val="xl65"/>
    <w:basedOn w:val="663"/>
    <w:next w:val="776"/>
    <w:link w:val="663"/>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777">
    <w:name w:val="xl49"/>
    <w:basedOn w:val="663"/>
    <w:next w:val="77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78">
    <w:name w:val="xl50"/>
    <w:basedOn w:val="663"/>
    <w:next w:val="778"/>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9">
    <w:name w:val="xl82"/>
    <w:basedOn w:val="663"/>
    <w:next w:val="779"/>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780">
    <w:name w:val="正文文本1"/>
    <w:basedOn w:val="663"/>
    <w:next w:val="780"/>
    <w:link w:val="66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81">
    <w:name w:val="[Normal]"/>
    <w:next w:val="781"/>
    <w:link w:val="663"/>
    <w:qFormat/>
    <w:rPr>
      <w:rFonts w:ascii="方正仿宋简体" w:hAnsi="方正仿宋简体" w:eastAsia="方正仿宋简体" w:cs="Courier New"/>
      <w:sz w:val="24"/>
      <w:szCs w:val="22"/>
      <w:lang w:val="zh-CN" w:eastAsia="zh-CN" w:bidi="ar-SA"/>
    </w:rPr>
  </w:style>
  <w:style w:type="paragraph" w:styleId="782">
    <w:name w:val="BodyText1"/>
    <w:basedOn w:val="663"/>
    <w:next w:val="782"/>
    <w:link w:val="663"/>
    <w:qFormat/>
    <w:pPr>
      <w:jc w:val="both"/>
      <w:spacing w:line="60" w:lineRule="auto"/>
    </w:pPr>
    <w:rPr>
      <w:rFonts w:ascii="仿宋" w:hAnsi="Calibri" w:eastAsia="仿宋"/>
      <w:sz w:val="32"/>
      <w:szCs w:val="22"/>
      <w:lang w:val="en-US" w:eastAsia="zh-CN" w:bidi="ar-SA"/>
    </w:rPr>
  </w:style>
  <w:style w:type="paragraph" w:styleId="783">
    <w:name w:val="WPSOffice手动目录 1"/>
    <w:next w:val="783"/>
    <w:link w:val="663"/>
    <w:rPr>
      <w:sz w:val="20"/>
      <w:szCs w:val="20"/>
    </w:rPr>
  </w:style>
  <w:style w:type="paragraph" w:styleId="784">
    <w:name w:val="Table Paragraph"/>
    <w:basedOn w:val="663"/>
    <w:next w:val="784"/>
    <w:link w:val="663"/>
    <w:rPr>
      <w:rFonts w:ascii="宋体" w:hAnsi="宋体" w:eastAsia="宋体" w:cs="宋体"/>
      <w:lang w:val="zh-CN" w:eastAsia="zh-CN" w:bidi="zh-CN"/>
    </w:rPr>
  </w:style>
  <w:style w:type="paragraph" w:styleId="785">
    <w:name w:val="纯文本12"/>
    <w:basedOn w:val="663"/>
    <w:next w:val="785"/>
    <w:link w:val="663"/>
    <w:uiPriority w:val="99"/>
    <w:qFormat/>
    <w:rPr>
      <w:rFonts w:ascii="宋体" w:hAnsi="Courier New"/>
      <w:szCs w:val="20"/>
    </w:rPr>
  </w:style>
  <w:style w:type="paragraph" w:styleId="786">
    <w:name w:val="纯文本1"/>
    <w:basedOn w:val="663"/>
    <w:next w:val="786"/>
    <w:link w:val="663"/>
    <w:qFormat/>
    <w:rPr>
      <w:rFonts w:ascii="宋体" w:hAnsi="Courier New"/>
      <w:szCs w:val="20"/>
    </w:rPr>
  </w:style>
  <w:style w:type="table" w:styleId="787">
    <w:name w:val="网格型1"/>
    <w:basedOn w:val="788"/>
    <w:next w:val="787"/>
    <w:link w:val="663"/>
    <w:qFormat/>
    <w:pPr>
      <w:jc w:val="both"/>
      <w:widowControl w:val="off"/>
    </w:pPr>
    <w:rPr>
      <w:rFonts w:ascii="Times New Roman" w:hAnsi="Times New Roman"/>
    </w:rPr>
    <w:tblPr/>
  </w:style>
  <w:style w:type="table" w:styleId="788">
    <w:name w:val="普通表格1"/>
    <w:next w:val="788"/>
    <w:link w:val="663"/>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789">
    <w:name w:val="正文格式－文字"/>
    <w:next w:val="789"/>
    <w:link w:val="663"/>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28468" w:default="1">
    <w:name w:val="Default Paragraph Font"/>
    <w:uiPriority w:val="1"/>
    <w:semiHidden/>
    <w:unhideWhenUsed/>
  </w:style>
  <w:style w:type="numbering" w:styleId="28469" w:default="1">
    <w:name w:val="No List"/>
    <w:uiPriority w:val="99"/>
    <w:semiHidden/>
    <w:unhideWhenUsed/>
  </w:style>
  <w:style w:type="table" w:styleId="284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5</cp:revision>
  <dcterms:created xsi:type="dcterms:W3CDTF">2024-02-28T03:16:00Z</dcterms:created>
  <dcterms:modified xsi:type="dcterms:W3CDTF">2026-01-26T06:50:28Z</dcterms:modified>
</cp:coreProperties>
</file>